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E86C8" w14:textId="77777777" w:rsidR="0070592C" w:rsidRDefault="00281EBC">
      <w:pPr>
        <w:pStyle w:val="BodyText"/>
        <w:ind w:left="120"/>
        <w:rPr>
          <w:rFonts w:ascii="Times New Roman"/>
          <w:sz w:val="20"/>
        </w:rPr>
      </w:pPr>
      <w:r>
        <w:rPr>
          <w:rFonts w:ascii="Times New Roman"/>
          <w:noProof/>
          <w:sz w:val="20"/>
        </w:rPr>
        <w:drawing>
          <wp:inline distT="0" distB="0" distL="0" distR="0" wp14:anchorId="2F9FAC13" wp14:editId="1B9919D7">
            <wp:extent cx="1263520" cy="3586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63520" cy="358616"/>
                    </a:xfrm>
                    <a:prstGeom prst="rect">
                      <a:avLst/>
                    </a:prstGeom>
                  </pic:spPr>
                </pic:pic>
              </a:graphicData>
            </a:graphic>
          </wp:inline>
        </w:drawing>
      </w:r>
    </w:p>
    <w:p w14:paraId="13D580CC" w14:textId="77777777" w:rsidR="0070592C" w:rsidRDefault="0070592C">
      <w:pPr>
        <w:pStyle w:val="BodyText"/>
        <w:spacing w:before="4"/>
        <w:rPr>
          <w:rFonts w:ascii="Times New Roman"/>
          <w:sz w:val="26"/>
        </w:rPr>
      </w:pPr>
    </w:p>
    <w:p w14:paraId="00BAD94C" w14:textId="77777777" w:rsidR="0070592C" w:rsidRDefault="00281EBC">
      <w:pPr>
        <w:spacing w:before="92"/>
        <w:ind w:left="113"/>
        <w:jc w:val="both"/>
        <w:rPr>
          <w:b/>
          <w:sz w:val="28"/>
        </w:rPr>
      </w:pPr>
      <w:r>
        <w:rPr>
          <w:b/>
          <w:sz w:val="28"/>
        </w:rPr>
        <w:t>Request for Proposal (RFP)</w:t>
      </w:r>
    </w:p>
    <w:p w14:paraId="1B2EDB27" w14:textId="77777777" w:rsidR="0070592C" w:rsidRDefault="0070592C">
      <w:pPr>
        <w:pStyle w:val="BodyText"/>
        <w:spacing w:before="11"/>
        <w:rPr>
          <w:b/>
          <w:sz w:val="34"/>
        </w:rPr>
      </w:pPr>
    </w:p>
    <w:p w14:paraId="6F9A36E4" w14:textId="77777777" w:rsidR="0070592C" w:rsidRDefault="00281EBC">
      <w:pPr>
        <w:ind w:left="113"/>
        <w:jc w:val="both"/>
        <w:rPr>
          <w:sz w:val="24"/>
        </w:rPr>
      </w:pPr>
      <w:r>
        <w:rPr>
          <w:b/>
          <w:sz w:val="24"/>
        </w:rPr>
        <w:t xml:space="preserve">For: </w:t>
      </w:r>
      <w:r>
        <w:rPr>
          <w:sz w:val="24"/>
        </w:rPr>
        <w:t>EMI in higher education, Uzbekistan project impact evaluation</w:t>
      </w:r>
    </w:p>
    <w:p w14:paraId="0A38B85D" w14:textId="77777777" w:rsidR="0070592C" w:rsidRDefault="0070592C">
      <w:pPr>
        <w:pStyle w:val="BodyText"/>
        <w:spacing w:before="11"/>
        <w:rPr>
          <w:sz w:val="32"/>
        </w:rPr>
      </w:pPr>
    </w:p>
    <w:p w14:paraId="3D057677" w14:textId="43BA94B2" w:rsidR="0070592C" w:rsidRDefault="00281EBC">
      <w:pPr>
        <w:ind w:left="113"/>
        <w:jc w:val="both"/>
        <w:rPr>
          <w:sz w:val="24"/>
        </w:rPr>
      </w:pPr>
      <w:r>
        <w:rPr>
          <w:b/>
          <w:sz w:val="24"/>
        </w:rPr>
        <w:t xml:space="preserve">Date: </w:t>
      </w:r>
      <w:r w:rsidR="007A25F2">
        <w:rPr>
          <w:sz w:val="24"/>
        </w:rPr>
        <w:t>23</w:t>
      </w:r>
      <w:r>
        <w:rPr>
          <w:sz w:val="24"/>
        </w:rPr>
        <w:t xml:space="preserve"> </w:t>
      </w:r>
      <w:r w:rsidR="007A25F2">
        <w:rPr>
          <w:sz w:val="24"/>
        </w:rPr>
        <w:t>November</w:t>
      </w:r>
      <w:r>
        <w:rPr>
          <w:sz w:val="24"/>
        </w:rPr>
        <w:t xml:space="preserve"> 2021</w:t>
      </w:r>
    </w:p>
    <w:p w14:paraId="159E934B" w14:textId="77777777" w:rsidR="0070592C" w:rsidRDefault="0070592C">
      <w:pPr>
        <w:pStyle w:val="BodyText"/>
        <w:spacing w:before="9"/>
        <w:rPr>
          <w:sz w:val="32"/>
        </w:rPr>
      </w:pPr>
    </w:p>
    <w:p w14:paraId="7F855279" w14:textId="77777777" w:rsidR="0070592C" w:rsidRDefault="00281EBC">
      <w:pPr>
        <w:pStyle w:val="Heading1"/>
        <w:numPr>
          <w:ilvl w:val="0"/>
          <w:numId w:val="5"/>
        </w:numPr>
        <w:tabs>
          <w:tab w:val="left" w:pos="835"/>
        </w:tabs>
        <w:spacing w:before="1"/>
        <w:jc w:val="both"/>
      </w:pPr>
      <w:r>
        <w:t>Overview of the British</w:t>
      </w:r>
      <w:r>
        <w:rPr>
          <w:spacing w:val="-2"/>
        </w:rPr>
        <w:t xml:space="preserve"> </w:t>
      </w:r>
      <w:r>
        <w:t>Council</w:t>
      </w:r>
    </w:p>
    <w:p w14:paraId="38B9EEEF" w14:textId="77777777" w:rsidR="0070592C" w:rsidRDefault="0070592C">
      <w:pPr>
        <w:pStyle w:val="BodyText"/>
        <w:spacing w:before="10"/>
        <w:rPr>
          <w:b/>
          <w:sz w:val="32"/>
        </w:rPr>
      </w:pPr>
    </w:p>
    <w:p w14:paraId="50100DC8" w14:textId="77777777" w:rsidR="0070592C" w:rsidRDefault="00281EBC">
      <w:pPr>
        <w:pStyle w:val="ListParagraph"/>
        <w:numPr>
          <w:ilvl w:val="1"/>
          <w:numId w:val="5"/>
        </w:numPr>
        <w:tabs>
          <w:tab w:val="left" w:pos="835"/>
        </w:tabs>
        <w:spacing w:line="360" w:lineRule="auto"/>
        <w:ind w:left="113" w:right="106" w:firstLine="0"/>
        <w:jc w:val="both"/>
        <w:rPr>
          <w:sz w:val="21"/>
        </w:rPr>
      </w:pPr>
      <w:r>
        <w:rPr>
          <w:sz w:val="21"/>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w:t>
      </w:r>
      <w:r>
        <w:rPr>
          <w:spacing w:val="-15"/>
          <w:sz w:val="21"/>
        </w:rPr>
        <w:t xml:space="preserve"> </w:t>
      </w:r>
      <w:r>
        <w:rPr>
          <w:sz w:val="21"/>
        </w:rPr>
        <w:t>trust.</w:t>
      </w:r>
    </w:p>
    <w:p w14:paraId="12ED8C06" w14:textId="77777777" w:rsidR="0070592C" w:rsidRDefault="0070592C">
      <w:pPr>
        <w:pStyle w:val="BodyText"/>
        <w:spacing w:before="11"/>
        <w:rPr>
          <w:sz w:val="20"/>
        </w:rPr>
      </w:pPr>
    </w:p>
    <w:p w14:paraId="3E2177E7" w14:textId="77777777" w:rsidR="0070592C" w:rsidRDefault="00281EBC">
      <w:pPr>
        <w:pStyle w:val="ListParagraph"/>
        <w:numPr>
          <w:ilvl w:val="1"/>
          <w:numId w:val="5"/>
        </w:numPr>
        <w:tabs>
          <w:tab w:val="left" w:pos="835"/>
        </w:tabs>
        <w:spacing w:line="360" w:lineRule="auto"/>
        <w:ind w:left="113" w:right="107" w:firstLine="0"/>
        <w:jc w:val="both"/>
        <w:rPr>
          <w:sz w:val="21"/>
        </w:rPr>
      </w:pPr>
      <w:r>
        <w:rPr>
          <w:sz w:val="21"/>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w:t>
      </w:r>
      <w:r>
        <w:rPr>
          <w:spacing w:val="-14"/>
          <w:sz w:val="21"/>
        </w:rPr>
        <w:t xml:space="preserve"> </w:t>
      </w:r>
      <w:r>
        <w:rPr>
          <w:sz w:val="21"/>
        </w:rPr>
        <w:t>body</w:t>
      </w:r>
    </w:p>
    <w:p w14:paraId="2501BBD3" w14:textId="77777777" w:rsidR="0070592C" w:rsidRDefault="0070592C">
      <w:pPr>
        <w:pStyle w:val="BodyText"/>
        <w:spacing w:before="8"/>
        <w:rPr>
          <w:sz w:val="20"/>
        </w:rPr>
      </w:pPr>
    </w:p>
    <w:p w14:paraId="4E8F5E80" w14:textId="77777777" w:rsidR="0070592C" w:rsidRDefault="00281EBC">
      <w:pPr>
        <w:pStyle w:val="ListParagraph"/>
        <w:numPr>
          <w:ilvl w:val="1"/>
          <w:numId w:val="5"/>
        </w:numPr>
        <w:tabs>
          <w:tab w:val="left" w:pos="835"/>
        </w:tabs>
        <w:spacing w:before="1" w:line="360" w:lineRule="auto"/>
        <w:ind w:left="113" w:right="110" w:firstLine="0"/>
        <w:jc w:val="both"/>
        <w:rPr>
          <w:sz w:val="21"/>
        </w:rPr>
      </w:pPr>
      <w:r>
        <w:rPr>
          <w:sz w:val="21"/>
        </w:rPr>
        <w:t>The British Council employs over 10,500 staff worldwide. It has its headquarters in the UK, with offices in London, Manchester, Belfast, Cardiff and Edinburgh. Further information can be viewed at</w:t>
      </w:r>
      <w:hyperlink r:id="rId8">
        <w:r>
          <w:rPr>
            <w:color w:val="0000FF"/>
            <w:sz w:val="21"/>
            <w:u w:val="single" w:color="0000FF"/>
          </w:rPr>
          <w:t xml:space="preserve"> </w:t>
        </w:r>
        <w:r>
          <w:rPr>
            <w:color w:val="0000FF"/>
            <w:u w:val="single" w:color="0000FF"/>
          </w:rPr>
          <w:t>www.britishcouncil.org</w:t>
        </w:r>
      </w:hyperlink>
      <w:r>
        <w:rPr>
          <w:sz w:val="21"/>
        </w:rPr>
        <w:t>.</w:t>
      </w:r>
    </w:p>
    <w:p w14:paraId="6D292DF6" w14:textId="77777777" w:rsidR="0070592C" w:rsidRDefault="0070592C">
      <w:pPr>
        <w:pStyle w:val="BodyText"/>
        <w:rPr>
          <w:sz w:val="20"/>
        </w:rPr>
      </w:pPr>
    </w:p>
    <w:p w14:paraId="5FD531EC" w14:textId="77777777" w:rsidR="0070592C" w:rsidRDefault="0070592C">
      <w:pPr>
        <w:pStyle w:val="BodyText"/>
        <w:rPr>
          <w:sz w:val="20"/>
        </w:rPr>
      </w:pPr>
    </w:p>
    <w:p w14:paraId="10E918CF" w14:textId="77777777" w:rsidR="0070592C" w:rsidRDefault="0070592C">
      <w:pPr>
        <w:pStyle w:val="BodyText"/>
        <w:spacing w:before="9"/>
        <w:rPr>
          <w:sz w:val="23"/>
        </w:rPr>
      </w:pPr>
    </w:p>
    <w:p w14:paraId="59696A28" w14:textId="77777777" w:rsidR="0070592C" w:rsidRDefault="00281EBC">
      <w:pPr>
        <w:pStyle w:val="Heading1"/>
        <w:numPr>
          <w:ilvl w:val="0"/>
          <w:numId w:val="5"/>
        </w:numPr>
        <w:tabs>
          <w:tab w:val="left" w:pos="833"/>
          <w:tab w:val="left" w:pos="835"/>
        </w:tabs>
        <w:spacing w:before="93"/>
      </w:pPr>
      <w:r>
        <w:t>Introduction and Background to the Project /</w:t>
      </w:r>
      <w:r>
        <w:rPr>
          <w:spacing w:val="-1"/>
        </w:rPr>
        <w:t xml:space="preserve"> </w:t>
      </w:r>
      <w:r>
        <w:t>Programme</w:t>
      </w:r>
    </w:p>
    <w:p w14:paraId="3C1A59C5" w14:textId="77777777" w:rsidR="0070592C" w:rsidRDefault="0070592C">
      <w:pPr>
        <w:pStyle w:val="BodyText"/>
        <w:spacing w:before="11"/>
        <w:rPr>
          <w:b/>
          <w:sz w:val="32"/>
        </w:rPr>
      </w:pPr>
    </w:p>
    <w:p w14:paraId="59F2C138" w14:textId="77777777" w:rsidR="0070592C" w:rsidRDefault="00281EBC">
      <w:pPr>
        <w:pStyle w:val="BodyText"/>
        <w:spacing w:line="360" w:lineRule="auto"/>
        <w:ind w:left="113" w:right="107"/>
        <w:jc w:val="both"/>
      </w:pPr>
      <w:r>
        <w:t>The new national strategy of the Republic of Uzbekistan requires significant reforms in education. For example, the 2030 Concept for higher education development published in October 2019 aims to increase participation and focuses on relevance of education to the needs of the local and global markets. The Concept highlights the role of English and English medium education as key for national higher education development and internationalization agendas. A new State Programme 2021 also highlights the importance of learning and teaching foreign languages for higher education internationalization purposes in</w:t>
      </w:r>
      <w:r>
        <w:rPr>
          <w:spacing w:val="-2"/>
        </w:rPr>
        <w:t xml:space="preserve"> </w:t>
      </w:r>
      <w:r>
        <w:t>Uzbekistan.</w:t>
      </w:r>
    </w:p>
    <w:p w14:paraId="50EB5556" w14:textId="77777777" w:rsidR="0070592C" w:rsidRDefault="0070592C">
      <w:pPr>
        <w:pStyle w:val="BodyText"/>
        <w:spacing w:before="9"/>
        <w:rPr>
          <w:sz w:val="20"/>
        </w:rPr>
      </w:pPr>
    </w:p>
    <w:p w14:paraId="6F35B5D5" w14:textId="77777777" w:rsidR="0070592C" w:rsidRDefault="00281EBC">
      <w:pPr>
        <w:pStyle w:val="BodyText"/>
        <w:spacing w:line="360" w:lineRule="auto"/>
        <w:ind w:left="113" w:right="107"/>
        <w:jc w:val="both"/>
      </w:pPr>
      <w:r>
        <w:t>To respond to national large-scale higher education reform, capacity development and internationalisation objectives in May 2019 in partnership with the Ministry of Higher and Secondary Specialised Education of the Republic of Uzbekistan we have launched our new EMI (English as Medium of Instruction) in Higher Education project (</w:t>
      </w:r>
      <w:hyperlink r:id="rId9">
        <w:r>
          <w:rPr>
            <w:u w:val="single"/>
          </w:rPr>
          <w:t>https://www.britishcouncil.uz/en/teach/english-medium-instruction</w:t>
        </w:r>
        <w:r>
          <w:t xml:space="preserve"> </w:t>
        </w:r>
      </w:hyperlink>
      <w:r>
        <w:t>).</w:t>
      </w:r>
    </w:p>
    <w:p w14:paraId="7A8D944D" w14:textId="77777777" w:rsidR="0070592C" w:rsidRDefault="0070592C">
      <w:pPr>
        <w:spacing w:line="360" w:lineRule="auto"/>
        <w:jc w:val="both"/>
        <w:sectPr w:rsidR="0070592C">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560" w:right="880" w:bottom="980" w:left="880" w:header="720" w:footer="800" w:gutter="0"/>
          <w:pgNumType w:start="1"/>
          <w:cols w:space="720"/>
        </w:sectPr>
      </w:pPr>
    </w:p>
    <w:p w14:paraId="247F4BC7" w14:textId="77777777" w:rsidR="0070592C" w:rsidRDefault="00281EBC">
      <w:pPr>
        <w:pStyle w:val="BodyText"/>
        <w:spacing w:before="65" w:line="360" w:lineRule="auto"/>
        <w:ind w:left="113" w:right="108"/>
        <w:jc w:val="both"/>
      </w:pPr>
      <w:r>
        <w:lastRenderedPageBreak/>
        <w:t>The project’s long term aim is to shape a clear national and institutional strategies for EMI, to facilitate the development and delivery of a national EMI capacity-building programme for Uzbekistan’s higher education sector, specifically sharing UK institutional and wider international experience in the field and to develop a team of confident professionals who can develop and deliver programmes in their higher education institutions in English offering training and support to all EMI teachers in</w:t>
      </w:r>
      <w:r>
        <w:rPr>
          <w:spacing w:val="-24"/>
        </w:rPr>
        <w:t xml:space="preserve"> </w:t>
      </w:r>
      <w:r>
        <w:t>Uzbekistan.</w:t>
      </w:r>
    </w:p>
    <w:p w14:paraId="428AEA3C" w14:textId="77777777" w:rsidR="0070592C" w:rsidRDefault="0070592C">
      <w:pPr>
        <w:pStyle w:val="BodyText"/>
      </w:pPr>
    </w:p>
    <w:p w14:paraId="6648CA93" w14:textId="77777777" w:rsidR="0070592C" w:rsidRDefault="00281EBC">
      <w:pPr>
        <w:pStyle w:val="BodyText"/>
        <w:spacing w:line="360" w:lineRule="auto"/>
        <w:ind w:left="113" w:right="106"/>
        <w:jc w:val="both"/>
      </w:pPr>
      <w:r>
        <w:t>The programme builds on national English reform programmes and encourages collaboration between English and content teachers. The launched blended capacity building programme that encouraged this collaboration has been highly valued and appreciated by both groups. Teachers are working and studying together in the workshops and develop tools, materials, and competences which can be rolled out as part of the resulting in EMI strategy implementation in HEIs in Uzbekistan.</w:t>
      </w:r>
    </w:p>
    <w:p w14:paraId="11904DE2" w14:textId="77777777" w:rsidR="0070592C" w:rsidRDefault="0070592C">
      <w:pPr>
        <w:pStyle w:val="BodyText"/>
        <w:spacing w:before="9"/>
        <w:rPr>
          <w:sz w:val="20"/>
        </w:rPr>
      </w:pPr>
    </w:p>
    <w:p w14:paraId="6808A0D4" w14:textId="77777777" w:rsidR="0070592C" w:rsidRDefault="00281EBC">
      <w:pPr>
        <w:pStyle w:val="BodyText"/>
        <w:spacing w:line="360" w:lineRule="auto"/>
        <w:ind w:left="113" w:right="110"/>
        <w:jc w:val="both"/>
      </w:pPr>
      <w:r>
        <w:t>To address the needs at institutional and personal professional levels the project designs capacity development programme which is informed by a needs-based approach to professional development in EMI.</w:t>
      </w:r>
    </w:p>
    <w:p w14:paraId="2E0EDB07" w14:textId="77777777" w:rsidR="0070592C" w:rsidRDefault="0070592C">
      <w:pPr>
        <w:pStyle w:val="BodyText"/>
        <w:spacing w:before="10"/>
        <w:rPr>
          <w:sz w:val="20"/>
        </w:rPr>
      </w:pPr>
    </w:p>
    <w:p w14:paraId="0AF5789C" w14:textId="77777777" w:rsidR="0070592C" w:rsidRDefault="00281EBC">
      <w:pPr>
        <w:pStyle w:val="BodyText"/>
        <w:spacing w:before="1" w:line="360" w:lineRule="auto"/>
        <w:ind w:left="113" w:right="108"/>
        <w:jc w:val="both"/>
      </w:pPr>
      <w:r>
        <w:t>Through EMI 16 HEIs have been benefitting from the capacity development programme aimed at enhancement of the teaching practice in EMI in HE in Uzbekistan that will contribute to internationalisation objectives of running reforms in higher education.</w:t>
      </w:r>
    </w:p>
    <w:p w14:paraId="06209CB7" w14:textId="77777777" w:rsidR="0070592C" w:rsidRDefault="0070592C">
      <w:pPr>
        <w:pStyle w:val="BodyText"/>
        <w:spacing w:before="10"/>
        <w:rPr>
          <w:sz w:val="20"/>
        </w:rPr>
      </w:pPr>
    </w:p>
    <w:p w14:paraId="2C28DA1F" w14:textId="77777777" w:rsidR="0070592C" w:rsidRDefault="00281EBC">
      <w:pPr>
        <w:pStyle w:val="BodyText"/>
        <w:spacing w:before="1" w:line="360" w:lineRule="auto"/>
        <w:ind w:left="113" w:right="107"/>
        <w:jc w:val="both"/>
      </w:pPr>
      <w:r>
        <w:t>The key national programme partners are the Ministry of higher and secondary specialised education of the Republic of Uzbekistan and 16 Higher Education Institutions who are all working to support wider national development and capacity building</w:t>
      </w:r>
      <w:r>
        <w:rPr>
          <w:spacing w:val="-9"/>
        </w:rPr>
        <w:t xml:space="preserve"> </w:t>
      </w:r>
      <w:r>
        <w:t>goals.</w:t>
      </w:r>
    </w:p>
    <w:p w14:paraId="36448F3C" w14:textId="77777777" w:rsidR="0070592C" w:rsidRDefault="0070592C">
      <w:pPr>
        <w:pStyle w:val="BodyText"/>
        <w:rPr>
          <w:sz w:val="24"/>
        </w:rPr>
      </w:pPr>
    </w:p>
    <w:p w14:paraId="7F37BE92" w14:textId="77777777" w:rsidR="0070592C" w:rsidRDefault="0070592C">
      <w:pPr>
        <w:pStyle w:val="BodyText"/>
        <w:rPr>
          <w:sz w:val="24"/>
        </w:rPr>
      </w:pPr>
    </w:p>
    <w:p w14:paraId="1896D5B6" w14:textId="77777777" w:rsidR="0070592C" w:rsidRDefault="0070592C">
      <w:pPr>
        <w:pStyle w:val="BodyText"/>
        <w:spacing w:before="3"/>
        <w:rPr>
          <w:sz w:val="25"/>
        </w:rPr>
      </w:pPr>
    </w:p>
    <w:p w14:paraId="6D916588" w14:textId="77777777" w:rsidR="0070592C" w:rsidRDefault="00281EBC">
      <w:pPr>
        <w:pStyle w:val="BodyText"/>
        <w:spacing w:line="360" w:lineRule="auto"/>
        <w:ind w:left="113" w:right="108"/>
        <w:jc w:val="both"/>
      </w:pPr>
      <w:r>
        <w:t>2.2 The purpose and scope of this RFP and supporting documents is to explain in further detail the requirements of the British Council and the procurement process for submitting a tender proposal.</w:t>
      </w:r>
    </w:p>
    <w:p w14:paraId="7DF0F801" w14:textId="77777777" w:rsidR="0070592C" w:rsidRDefault="0070592C">
      <w:pPr>
        <w:pStyle w:val="BodyText"/>
        <w:rPr>
          <w:sz w:val="24"/>
        </w:rPr>
      </w:pPr>
    </w:p>
    <w:p w14:paraId="20674A42" w14:textId="77777777" w:rsidR="0070592C" w:rsidRDefault="0070592C">
      <w:pPr>
        <w:pStyle w:val="BodyText"/>
        <w:rPr>
          <w:sz w:val="24"/>
        </w:rPr>
      </w:pPr>
    </w:p>
    <w:p w14:paraId="35987E40" w14:textId="77777777" w:rsidR="0070592C" w:rsidRDefault="0070592C">
      <w:pPr>
        <w:pStyle w:val="BodyText"/>
        <w:spacing w:before="8"/>
        <w:rPr>
          <w:sz w:val="23"/>
        </w:rPr>
      </w:pPr>
    </w:p>
    <w:p w14:paraId="36302089" w14:textId="77777777" w:rsidR="0070592C" w:rsidRDefault="00281EBC">
      <w:pPr>
        <w:pStyle w:val="Heading1"/>
        <w:numPr>
          <w:ilvl w:val="0"/>
          <w:numId w:val="5"/>
        </w:numPr>
        <w:tabs>
          <w:tab w:val="left" w:pos="835"/>
        </w:tabs>
        <w:jc w:val="both"/>
      </w:pPr>
      <w:r>
        <w:t>Tender Conditions and Contractual</w:t>
      </w:r>
      <w:r>
        <w:rPr>
          <w:spacing w:val="-1"/>
        </w:rPr>
        <w:t xml:space="preserve"> </w:t>
      </w:r>
      <w:r>
        <w:t>Requirements</w:t>
      </w:r>
    </w:p>
    <w:p w14:paraId="6F5D05F4" w14:textId="77777777" w:rsidR="0070592C" w:rsidRDefault="0070592C">
      <w:pPr>
        <w:pStyle w:val="BodyText"/>
        <w:spacing w:before="11"/>
        <w:rPr>
          <w:b/>
          <w:sz w:val="32"/>
        </w:rPr>
      </w:pPr>
    </w:p>
    <w:p w14:paraId="5EBA47D7" w14:textId="77777777" w:rsidR="0070592C" w:rsidRDefault="00281EBC">
      <w:pPr>
        <w:pStyle w:val="BodyText"/>
        <w:spacing w:line="360" w:lineRule="auto"/>
        <w:ind w:left="113" w:right="107"/>
        <w:jc w:val="both"/>
      </w:pPr>
      <w:r>
        <w:t>This section of the RFP sets out the British Council’s contracting requirements, general policy requirements, and the general tender conditions relating to this procurement process (“</w:t>
      </w:r>
      <w:r>
        <w:rPr>
          <w:b/>
        </w:rPr>
        <w:t>Procurement Process</w:t>
      </w:r>
      <w:r>
        <w:t>”).</w:t>
      </w:r>
    </w:p>
    <w:p w14:paraId="2B62FA05" w14:textId="77777777" w:rsidR="0070592C" w:rsidRDefault="0070592C">
      <w:pPr>
        <w:pStyle w:val="BodyText"/>
        <w:spacing w:before="8"/>
        <w:rPr>
          <w:sz w:val="20"/>
        </w:rPr>
      </w:pPr>
    </w:p>
    <w:p w14:paraId="0F1E4F69" w14:textId="77777777" w:rsidR="0070592C" w:rsidRDefault="00281EBC">
      <w:pPr>
        <w:pStyle w:val="Heading2"/>
        <w:numPr>
          <w:ilvl w:val="1"/>
          <w:numId w:val="5"/>
        </w:numPr>
        <w:tabs>
          <w:tab w:val="left" w:pos="835"/>
        </w:tabs>
        <w:jc w:val="both"/>
      </w:pPr>
      <w:r>
        <w:t>Contracting</w:t>
      </w:r>
      <w:r>
        <w:rPr>
          <w:spacing w:val="-1"/>
        </w:rPr>
        <w:t xml:space="preserve"> </w:t>
      </w:r>
      <w:r>
        <w:t>requirements</w:t>
      </w:r>
    </w:p>
    <w:p w14:paraId="18D92E76" w14:textId="77777777" w:rsidR="0070592C" w:rsidRDefault="0070592C">
      <w:pPr>
        <w:pStyle w:val="BodyText"/>
        <w:spacing w:before="5"/>
        <w:rPr>
          <w:b/>
          <w:sz w:val="31"/>
        </w:rPr>
      </w:pPr>
    </w:p>
    <w:p w14:paraId="5ED82B00" w14:textId="77777777" w:rsidR="0070592C" w:rsidRDefault="00281EBC">
      <w:pPr>
        <w:pStyle w:val="ListParagraph"/>
        <w:numPr>
          <w:ilvl w:val="2"/>
          <w:numId w:val="5"/>
        </w:numPr>
        <w:tabs>
          <w:tab w:val="left" w:pos="835"/>
        </w:tabs>
        <w:spacing w:line="360" w:lineRule="auto"/>
        <w:ind w:right="106" w:firstLine="0"/>
        <w:jc w:val="both"/>
      </w:pPr>
      <w:r>
        <w:rPr>
          <w:sz w:val="21"/>
        </w:rPr>
        <w:t>The contracting authority is the British Council which includes any subsidiary companies and other organisations that control or are controlled by the British Council from time to time (see:</w:t>
      </w:r>
      <w:r>
        <w:rPr>
          <w:color w:val="0000FF"/>
          <w:sz w:val="21"/>
          <w:u w:val="single" w:color="0000FF"/>
        </w:rPr>
        <w:t xml:space="preserve"> </w:t>
      </w:r>
      <w:hyperlink r:id="rId16">
        <w:r>
          <w:rPr>
            <w:color w:val="0000FF"/>
            <w:u w:val="single" w:color="0000FF"/>
          </w:rPr>
          <w:t>http://www.britishcouncil.org/organisation/structure/status</w:t>
        </w:r>
      </w:hyperlink>
      <w:r>
        <w:t>).</w:t>
      </w:r>
    </w:p>
    <w:p w14:paraId="25F67971" w14:textId="77777777" w:rsidR="0070592C" w:rsidRDefault="0070592C">
      <w:pPr>
        <w:spacing w:line="360" w:lineRule="auto"/>
        <w:jc w:val="both"/>
        <w:sectPr w:rsidR="0070592C">
          <w:pgSz w:w="11910" w:h="16840"/>
          <w:pgMar w:top="1260" w:right="880" w:bottom="980" w:left="880" w:header="0" w:footer="800" w:gutter="0"/>
          <w:cols w:space="720"/>
        </w:sectPr>
      </w:pPr>
    </w:p>
    <w:p w14:paraId="7B9DA0BD" w14:textId="77777777" w:rsidR="0070592C" w:rsidRDefault="00281EBC">
      <w:pPr>
        <w:pStyle w:val="ListParagraph"/>
        <w:numPr>
          <w:ilvl w:val="2"/>
          <w:numId w:val="5"/>
        </w:numPr>
        <w:tabs>
          <w:tab w:val="left" w:pos="835"/>
        </w:tabs>
        <w:spacing w:before="65" w:line="360" w:lineRule="auto"/>
        <w:ind w:right="109" w:firstLine="0"/>
        <w:jc w:val="both"/>
        <w:rPr>
          <w:sz w:val="21"/>
        </w:rPr>
      </w:pPr>
      <w:r>
        <w:rPr>
          <w:sz w:val="21"/>
        </w:rPr>
        <w:lastRenderedPageBreak/>
        <w:t>The appointed supplier will be expected to provide services for the British Council offices in Uzbekistan.</w:t>
      </w:r>
    </w:p>
    <w:p w14:paraId="692C77CE" w14:textId="77777777" w:rsidR="0070592C" w:rsidRDefault="0070592C">
      <w:pPr>
        <w:pStyle w:val="BodyText"/>
        <w:spacing w:before="11"/>
        <w:rPr>
          <w:sz w:val="20"/>
        </w:rPr>
      </w:pPr>
    </w:p>
    <w:p w14:paraId="69FD117F" w14:textId="77777777" w:rsidR="0070592C" w:rsidRDefault="00281EBC">
      <w:pPr>
        <w:pStyle w:val="ListParagraph"/>
        <w:numPr>
          <w:ilvl w:val="2"/>
          <w:numId w:val="5"/>
        </w:numPr>
        <w:tabs>
          <w:tab w:val="left" w:pos="835"/>
        </w:tabs>
        <w:spacing w:line="360" w:lineRule="auto"/>
        <w:ind w:right="107" w:firstLine="0"/>
        <w:jc w:val="both"/>
        <w:rPr>
          <w:sz w:val="21"/>
        </w:rPr>
      </w:pPr>
      <w:r>
        <w:rPr>
          <w:sz w:val="21"/>
        </w:rPr>
        <w:t>The British Council’s contracting and commercial approach in respect of the required goods and/or services is set out at Annex [</w:t>
      </w:r>
      <w:r>
        <w:rPr>
          <w:sz w:val="21"/>
          <w:shd w:val="clear" w:color="auto" w:fill="FFFF00"/>
        </w:rPr>
        <w:t>1</w:t>
      </w:r>
      <w:r>
        <w:rPr>
          <w:sz w:val="21"/>
        </w:rPr>
        <w:t>] (Terms and Conditions of contract) (“</w:t>
      </w:r>
      <w:r>
        <w:rPr>
          <w:b/>
          <w:sz w:val="21"/>
        </w:rPr>
        <w:t>Contract</w:t>
      </w:r>
      <w:r>
        <w:rPr>
          <w:sz w:val="21"/>
        </w:rPr>
        <w:t>”). By submitting a tender response, you are agreeing to be bound by the terms of this RFP and the Contract without further negotiation or</w:t>
      </w:r>
      <w:r>
        <w:rPr>
          <w:spacing w:val="-4"/>
          <w:sz w:val="21"/>
        </w:rPr>
        <w:t xml:space="preserve"> </w:t>
      </w:r>
      <w:r>
        <w:rPr>
          <w:sz w:val="21"/>
        </w:rPr>
        <w:t>amendment.</w:t>
      </w:r>
    </w:p>
    <w:p w14:paraId="2C95120D" w14:textId="77777777" w:rsidR="0070592C" w:rsidRDefault="0070592C">
      <w:pPr>
        <w:pStyle w:val="BodyText"/>
        <w:spacing w:before="10"/>
        <w:rPr>
          <w:sz w:val="20"/>
        </w:rPr>
      </w:pPr>
    </w:p>
    <w:p w14:paraId="6DE23930" w14:textId="77777777" w:rsidR="0070592C" w:rsidRDefault="00281EBC">
      <w:pPr>
        <w:pStyle w:val="ListParagraph"/>
        <w:numPr>
          <w:ilvl w:val="2"/>
          <w:numId w:val="5"/>
        </w:numPr>
        <w:tabs>
          <w:tab w:val="left" w:pos="835"/>
        </w:tabs>
        <w:spacing w:before="1" w:line="360" w:lineRule="auto"/>
        <w:ind w:right="107" w:firstLine="0"/>
        <w:jc w:val="both"/>
        <w:rPr>
          <w:sz w:val="21"/>
        </w:rPr>
      </w:pPr>
      <w:r>
        <w:rPr>
          <w:sz w:val="21"/>
        </w:rPr>
        <w:t>The Contract awarded will be for a duration of 4 months to conclude at the end of January 2022 with an option for an extension for up to an additional 2</w:t>
      </w:r>
      <w:r>
        <w:rPr>
          <w:spacing w:val="-14"/>
          <w:sz w:val="21"/>
        </w:rPr>
        <w:t xml:space="preserve"> </w:t>
      </w:r>
      <w:r>
        <w:rPr>
          <w:sz w:val="21"/>
        </w:rPr>
        <w:t>months</w:t>
      </w:r>
    </w:p>
    <w:p w14:paraId="1AB8D6AF" w14:textId="77777777" w:rsidR="0070592C" w:rsidRDefault="0070592C">
      <w:pPr>
        <w:pStyle w:val="BodyText"/>
        <w:spacing w:before="10"/>
        <w:rPr>
          <w:sz w:val="20"/>
        </w:rPr>
      </w:pPr>
    </w:p>
    <w:p w14:paraId="4010AEF2" w14:textId="77777777" w:rsidR="0070592C" w:rsidRDefault="00281EBC">
      <w:pPr>
        <w:pStyle w:val="ListParagraph"/>
        <w:numPr>
          <w:ilvl w:val="2"/>
          <w:numId w:val="5"/>
        </w:numPr>
        <w:tabs>
          <w:tab w:val="left" w:pos="835"/>
        </w:tabs>
        <w:spacing w:before="1" w:line="360" w:lineRule="auto"/>
        <w:ind w:right="107" w:firstLine="0"/>
        <w:jc w:val="both"/>
        <w:rPr>
          <w:sz w:val="21"/>
        </w:rPr>
      </w:pPr>
      <w:r>
        <w:rPr>
          <w:sz w:val="21"/>
        </w:rPr>
        <w:t>In the event that you have any concerns or queries in relation to the Contract, you should submit a clarification request in accordance with the provisions of this RFP by the Clarification Deadline (as defined below in the Timescales section of this RFP). Following such clarification requests, the British Council may issue a clarification change to the Contract that will apply to all potential suppliers submitting a tender response.</w:t>
      </w:r>
    </w:p>
    <w:p w14:paraId="5B145CAB" w14:textId="77777777" w:rsidR="0070592C" w:rsidRDefault="0070592C">
      <w:pPr>
        <w:pStyle w:val="BodyText"/>
        <w:spacing w:before="8"/>
        <w:rPr>
          <w:sz w:val="20"/>
        </w:rPr>
      </w:pPr>
    </w:p>
    <w:p w14:paraId="3733F565" w14:textId="77777777" w:rsidR="0070592C" w:rsidRDefault="00281EBC">
      <w:pPr>
        <w:pStyle w:val="ListParagraph"/>
        <w:numPr>
          <w:ilvl w:val="2"/>
          <w:numId w:val="5"/>
        </w:numPr>
        <w:tabs>
          <w:tab w:val="left" w:pos="835"/>
        </w:tabs>
        <w:spacing w:line="360" w:lineRule="auto"/>
        <w:ind w:right="109" w:firstLine="0"/>
        <w:jc w:val="both"/>
        <w:rPr>
          <w:sz w:val="21"/>
        </w:rPr>
      </w:pPr>
      <w:r>
        <w:rPr>
          <w:sz w:val="21"/>
        </w:rPr>
        <w:t>The British Council is under no obligations to consider any clarifications / amendments to the Contract proposed following the Clarification Deadline, but before the Response Deadline (as defined below in the Timescales section of this RFP). Any proposed amendments received from a potential supplier as part its tender response shall entitle the British Council to reject that tender response and to disqualify that potential supplier from this Procurement</w:t>
      </w:r>
      <w:r>
        <w:rPr>
          <w:spacing w:val="-9"/>
          <w:sz w:val="21"/>
        </w:rPr>
        <w:t xml:space="preserve"> </w:t>
      </w:r>
      <w:r>
        <w:rPr>
          <w:sz w:val="21"/>
        </w:rPr>
        <w:t>Process.</w:t>
      </w:r>
    </w:p>
    <w:p w14:paraId="5F5A0565" w14:textId="77777777" w:rsidR="0070592C" w:rsidRDefault="0070592C">
      <w:pPr>
        <w:pStyle w:val="BodyText"/>
      </w:pPr>
    </w:p>
    <w:p w14:paraId="1B8DEE80" w14:textId="77777777" w:rsidR="0070592C" w:rsidRDefault="00281EBC">
      <w:pPr>
        <w:pStyle w:val="Heading2"/>
        <w:ind w:left="113" w:firstLine="0"/>
      </w:pPr>
      <w:r>
        <w:t>3.2 General Policy Requirements</w:t>
      </w:r>
    </w:p>
    <w:p w14:paraId="2F03732D" w14:textId="77777777" w:rsidR="0070592C" w:rsidRDefault="0070592C">
      <w:pPr>
        <w:pStyle w:val="BodyText"/>
        <w:spacing w:before="4"/>
        <w:rPr>
          <w:b/>
          <w:sz w:val="31"/>
        </w:rPr>
      </w:pPr>
    </w:p>
    <w:p w14:paraId="3266548C" w14:textId="77777777" w:rsidR="0070592C" w:rsidRDefault="00281EBC">
      <w:pPr>
        <w:pStyle w:val="BodyText"/>
        <w:spacing w:line="360" w:lineRule="auto"/>
        <w:ind w:left="113" w:right="107"/>
        <w:jc w:val="both"/>
      </w:pPr>
      <w:r>
        <w:t>3.2.1 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7">
        <w:r>
          <w:rPr>
            <w:color w:val="0000FF"/>
            <w:sz w:val="22"/>
            <w:u w:val="single" w:color="0000FF"/>
          </w:rPr>
          <w:t>https://www.britishcouncil.org/organisation/transparency/policies</w:t>
        </w:r>
      </w:hyperlink>
      <w:r>
        <w:rPr>
          <w:sz w:val="22"/>
        </w:rPr>
        <w:t xml:space="preserve">). </w:t>
      </w:r>
      <w:r>
        <w:t>The list of relevant policies includes (but it is not limited to): Anti-Fraud and Corruption, Child Protection Policy, Equality, Diversity and Inclusion Policy, Fair Trading, Health and Safety Policy, Environmental Policy, Records Management, and</w:t>
      </w:r>
      <w:r>
        <w:rPr>
          <w:spacing w:val="-30"/>
        </w:rPr>
        <w:t xml:space="preserve"> </w:t>
      </w:r>
      <w:r>
        <w:t>Privacy.</w:t>
      </w:r>
    </w:p>
    <w:p w14:paraId="1AC6587A" w14:textId="77777777" w:rsidR="0070592C" w:rsidRDefault="0070592C">
      <w:pPr>
        <w:pStyle w:val="BodyText"/>
        <w:spacing w:before="9"/>
        <w:rPr>
          <w:sz w:val="20"/>
        </w:rPr>
      </w:pPr>
    </w:p>
    <w:p w14:paraId="463CFD16" w14:textId="77777777" w:rsidR="0070592C" w:rsidRDefault="00281EBC">
      <w:pPr>
        <w:pStyle w:val="Heading2"/>
        <w:numPr>
          <w:ilvl w:val="1"/>
          <w:numId w:val="4"/>
        </w:numPr>
        <w:tabs>
          <w:tab w:val="left" w:pos="835"/>
        </w:tabs>
        <w:spacing w:before="1"/>
        <w:jc w:val="both"/>
      </w:pPr>
      <w:r>
        <w:t>General tender conditions (“Tender</w:t>
      </w:r>
      <w:r>
        <w:rPr>
          <w:spacing w:val="-8"/>
        </w:rPr>
        <w:t xml:space="preserve"> </w:t>
      </w:r>
      <w:r>
        <w:t>Conditions”)</w:t>
      </w:r>
    </w:p>
    <w:p w14:paraId="2CC61ABF" w14:textId="77777777" w:rsidR="0070592C" w:rsidRDefault="0070592C">
      <w:pPr>
        <w:pStyle w:val="BodyText"/>
        <w:spacing w:before="4"/>
        <w:rPr>
          <w:b/>
          <w:sz w:val="31"/>
        </w:rPr>
      </w:pPr>
    </w:p>
    <w:p w14:paraId="46FCDE7D" w14:textId="77777777" w:rsidR="0070592C" w:rsidRDefault="00281EBC">
      <w:pPr>
        <w:pStyle w:val="ListParagraph"/>
        <w:numPr>
          <w:ilvl w:val="2"/>
          <w:numId w:val="4"/>
        </w:numPr>
        <w:tabs>
          <w:tab w:val="left" w:pos="835"/>
        </w:tabs>
        <w:spacing w:line="360" w:lineRule="auto"/>
        <w:ind w:right="107" w:firstLine="0"/>
        <w:jc w:val="both"/>
        <w:rPr>
          <w:sz w:val="21"/>
        </w:rPr>
      </w:pPr>
      <w:r>
        <w:rPr>
          <w:sz w:val="21"/>
          <w:u w:val="single"/>
        </w:rPr>
        <w:t>Application of these Tender Conditions</w:t>
      </w:r>
      <w:r>
        <w:rPr>
          <w:sz w:val="21"/>
        </w:rPr>
        <w:t xml:space="preserve"> – In participating in this Procurement Process and/or by submitting a tender response it will be implied that you accept and will be bound by all the provisions of this RFP and its Annexes. Accordingly, tender responses should be on the basis of and strictly in accordance with the requirements of this</w:t>
      </w:r>
      <w:r>
        <w:rPr>
          <w:spacing w:val="-10"/>
          <w:sz w:val="21"/>
        </w:rPr>
        <w:t xml:space="preserve"> </w:t>
      </w:r>
      <w:r>
        <w:rPr>
          <w:sz w:val="21"/>
        </w:rPr>
        <w:t>RFP.</w:t>
      </w:r>
    </w:p>
    <w:p w14:paraId="6DF037BA" w14:textId="77777777" w:rsidR="0070592C" w:rsidRDefault="0070592C">
      <w:pPr>
        <w:spacing w:line="360" w:lineRule="auto"/>
        <w:jc w:val="both"/>
        <w:rPr>
          <w:sz w:val="21"/>
        </w:rPr>
        <w:sectPr w:rsidR="0070592C">
          <w:pgSz w:w="11910" w:h="16840"/>
          <w:pgMar w:top="1260" w:right="880" w:bottom="980" w:left="880" w:header="0" w:footer="800" w:gutter="0"/>
          <w:cols w:space="720"/>
        </w:sectPr>
      </w:pPr>
    </w:p>
    <w:p w14:paraId="3396BE00" w14:textId="77777777" w:rsidR="0070592C" w:rsidRDefault="00281EBC">
      <w:pPr>
        <w:pStyle w:val="ListParagraph"/>
        <w:numPr>
          <w:ilvl w:val="2"/>
          <w:numId w:val="4"/>
        </w:numPr>
        <w:tabs>
          <w:tab w:val="left" w:pos="835"/>
        </w:tabs>
        <w:spacing w:before="65" w:line="360" w:lineRule="auto"/>
        <w:ind w:right="110" w:firstLine="0"/>
        <w:jc w:val="both"/>
        <w:rPr>
          <w:sz w:val="21"/>
        </w:rPr>
      </w:pPr>
      <w:r>
        <w:rPr>
          <w:sz w:val="21"/>
          <w:u w:val="single"/>
        </w:rPr>
        <w:lastRenderedPageBreak/>
        <w:t>Third party verifications</w:t>
      </w:r>
      <w:r>
        <w:rPr>
          <w:sz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w:t>
      </w:r>
      <w:r>
        <w:rPr>
          <w:spacing w:val="-5"/>
          <w:sz w:val="21"/>
        </w:rPr>
        <w:t xml:space="preserve"> </w:t>
      </w:r>
      <w:r>
        <w:rPr>
          <w:sz w:val="21"/>
        </w:rPr>
        <w:t>purposes.</w:t>
      </w:r>
    </w:p>
    <w:p w14:paraId="3903E157" w14:textId="77777777" w:rsidR="0070592C" w:rsidRDefault="0070592C">
      <w:pPr>
        <w:pStyle w:val="BodyText"/>
      </w:pPr>
    </w:p>
    <w:p w14:paraId="64E88A30" w14:textId="77777777" w:rsidR="0070592C" w:rsidRDefault="00281EBC">
      <w:pPr>
        <w:pStyle w:val="ListParagraph"/>
        <w:numPr>
          <w:ilvl w:val="2"/>
          <w:numId w:val="4"/>
        </w:numPr>
        <w:tabs>
          <w:tab w:val="left" w:pos="835"/>
        </w:tabs>
        <w:spacing w:line="360" w:lineRule="auto"/>
        <w:ind w:right="107" w:firstLine="0"/>
        <w:jc w:val="both"/>
        <w:rPr>
          <w:sz w:val="21"/>
        </w:rPr>
      </w:pPr>
      <w:r>
        <w:rPr>
          <w:sz w:val="21"/>
          <w:u w:val="single"/>
        </w:rPr>
        <w:t>Information provided to potential suppliers</w:t>
      </w:r>
      <w:r>
        <w:rPr>
          <w:sz w:val="21"/>
        </w:rPr>
        <w:t xml:space="preserve"> – Information that is supplied to potential suppliers as part of this Procurement Process is supplied in good faith. The information contained in the RFP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w:t>
      </w:r>
      <w:r>
        <w:rPr>
          <w:spacing w:val="-12"/>
          <w:sz w:val="21"/>
        </w:rPr>
        <w:t xml:space="preserve"> </w:t>
      </w:r>
      <w:r>
        <w:rPr>
          <w:sz w:val="21"/>
        </w:rPr>
        <w:t>Council.</w:t>
      </w:r>
    </w:p>
    <w:p w14:paraId="480A4D7F" w14:textId="77777777" w:rsidR="0070592C" w:rsidRDefault="0070592C">
      <w:pPr>
        <w:pStyle w:val="BodyText"/>
        <w:spacing w:before="9"/>
        <w:rPr>
          <w:sz w:val="20"/>
        </w:rPr>
      </w:pPr>
    </w:p>
    <w:p w14:paraId="4E4BD6DB" w14:textId="77777777" w:rsidR="0070592C" w:rsidRDefault="00281EBC">
      <w:pPr>
        <w:pStyle w:val="ListParagraph"/>
        <w:numPr>
          <w:ilvl w:val="2"/>
          <w:numId w:val="4"/>
        </w:numPr>
        <w:tabs>
          <w:tab w:val="left" w:pos="835"/>
        </w:tabs>
        <w:spacing w:line="360" w:lineRule="auto"/>
        <w:ind w:right="107" w:firstLine="0"/>
        <w:jc w:val="both"/>
        <w:rPr>
          <w:sz w:val="21"/>
        </w:rPr>
      </w:pPr>
      <w:r>
        <w:rPr>
          <w:sz w:val="21"/>
          <w:u w:val="single"/>
        </w:rPr>
        <w:t>Potential suppliers to make their own enquires</w:t>
      </w:r>
      <w:r>
        <w:rPr>
          <w:sz w:val="21"/>
        </w:rPr>
        <w:t xml:space="preserve"> – You are responsible for analysing and reviewing all information provided to you as part of this Procurement Process and for forming your own opinions and seeking advice as you consider appropriate. You should notify the British Council promptly </w:t>
      </w:r>
      <w:r>
        <w:rPr>
          <w:spacing w:val="3"/>
          <w:sz w:val="21"/>
        </w:rPr>
        <w:t xml:space="preserve">of </w:t>
      </w:r>
      <w:r>
        <w:rPr>
          <w:sz w:val="21"/>
        </w:rPr>
        <w:t>any perceived ambiguity, inconsistency or omission in this RFP and/or any in of its associated documents and/or in any information provided to you as part of this Procurement</w:t>
      </w:r>
      <w:r>
        <w:rPr>
          <w:spacing w:val="-18"/>
          <w:sz w:val="21"/>
        </w:rPr>
        <w:t xml:space="preserve"> </w:t>
      </w:r>
      <w:r>
        <w:rPr>
          <w:sz w:val="21"/>
        </w:rPr>
        <w:t>Process.</w:t>
      </w:r>
    </w:p>
    <w:p w14:paraId="4E7E619B" w14:textId="77777777" w:rsidR="0070592C" w:rsidRDefault="0070592C">
      <w:pPr>
        <w:pStyle w:val="BodyText"/>
        <w:spacing w:before="11"/>
        <w:rPr>
          <w:sz w:val="20"/>
        </w:rPr>
      </w:pPr>
    </w:p>
    <w:p w14:paraId="61734D2D" w14:textId="77777777" w:rsidR="0070592C" w:rsidRDefault="00281EBC">
      <w:pPr>
        <w:pStyle w:val="ListParagraph"/>
        <w:numPr>
          <w:ilvl w:val="2"/>
          <w:numId w:val="4"/>
        </w:numPr>
        <w:tabs>
          <w:tab w:val="left" w:pos="835"/>
        </w:tabs>
        <w:spacing w:line="360" w:lineRule="auto"/>
        <w:ind w:right="107" w:firstLine="0"/>
        <w:jc w:val="both"/>
        <w:rPr>
          <w:sz w:val="21"/>
        </w:rPr>
      </w:pPr>
      <w:r>
        <w:rPr>
          <w:sz w:val="21"/>
          <w:u w:val="single"/>
        </w:rPr>
        <w:t>Amendments to the RFP</w:t>
      </w:r>
      <w:r>
        <w:rPr>
          <w:sz w:val="21"/>
        </w:rPr>
        <w:t xml:space="preserve"> – At any time prior to the Response Deadline, the British Council may amend the RFP. Any such amendment shall be issued to all potential suppliers, and if appropriate to ensure potential suppliers have reasonable time in which to take such amendment into account, the Response Deadline shall, at the discretion of the British Council, be</w:t>
      </w:r>
      <w:r>
        <w:rPr>
          <w:spacing w:val="-19"/>
          <w:sz w:val="21"/>
        </w:rPr>
        <w:t xml:space="preserve"> </w:t>
      </w:r>
      <w:r>
        <w:rPr>
          <w:sz w:val="21"/>
        </w:rPr>
        <w:t>extended.</w:t>
      </w:r>
    </w:p>
    <w:p w14:paraId="1F649755" w14:textId="77777777" w:rsidR="0070592C" w:rsidRDefault="0070592C">
      <w:pPr>
        <w:pStyle w:val="BodyText"/>
        <w:spacing w:before="11"/>
        <w:rPr>
          <w:sz w:val="20"/>
        </w:rPr>
      </w:pPr>
    </w:p>
    <w:p w14:paraId="710E6580" w14:textId="77777777" w:rsidR="0070592C" w:rsidRDefault="00281EBC">
      <w:pPr>
        <w:pStyle w:val="ListParagraph"/>
        <w:numPr>
          <w:ilvl w:val="2"/>
          <w:numId w:val="4"/>
        </w:numPr>
        <w:tabs>
          <w:tab w:val="left" w:pos="835"/>
        </w:tabs>
        <w:spacing w:line="360" w:lineRule="auto"/>
        <w:ind w:right="106" w:firstLine="0"/>
        <w:jc w:val="both"/>
        <w:rPr>
          <w:sz w:val="21"/>
        </w:rPr>
      </w:pPr>
      <w:r>
        <w:rPr>
          <w:sz w:val="21"/>
          <w:u w:val="single"/>
        </w:rPr>
        <w:t>Compliance of tender response submission</w:t>
      </w:r>
      <w:r>
        <w:rPr>
          <w:sz w:val="21"/>
        </w:rPr>
        <w:t xml:space="preserve"> – Any goods and/or services offered should be on the basis of and strictly in accordance with the RFP (including, without limitation, any specification of the British Council’s requirements, these Tender Conditions and the Contract) and all other documents and any clarifications or updates issued by the British Council as part of this Procurement</w:t>
      </w:r>
      <w:r>
        <w:rPr>
          <w:spacing w:val="-22"/>
          <w:sz w:val="21"/>
        </w:rPr>
        <w:t xml:space="preserve"> </w:t>
      </w:r>
      <w:r>
        <w:rPr>
          <w:sz w:val="21"/>
        </w:rPr>
        <w:t>Process.</w:t>
      </w:r>
    </w:p>
    <w:p w14:paraId="5058E698" w14:textId="77777777" w:rsidR="0070592C" w:rsidRDefault="0070592C">
      <w:pPr>
        <w:pStyle w:val="BodyText"/>
        <w:spacing w:before="9"/>
        <w:rPr>
          <w:sz w:val="20"/>
        </w:rPr>
      </w:pPr>
    </w:p>
    <w:p w14:paraId="7D93423C" w14:textId="77777777" w:rsidR="0070592C" w:rsidRDefault="00281EBC">
      <w:pPr>
        <w:pStyle w:val="ListParagraph"/>
        <w:numPr>
          <w:ilvl w:val="2"/>
          <w:numId w:val="4"/>
        </w:numPr>
        <w:tabs>
          <w:tab w:val="left" w:pos="835"/>
        </w:tabs>
        <w:spacing w:line="360" w:lineRule="auto"/>
        <w:ind w:right="106" w:firstLine="0"/>
        <w:jc w:val="both"/>
        <w:rPr>
          <w:sz w:val="21"/>
        </w:rPr>
      </w:pPr>
      <w:r>
        <w:rPr>
          <w:sz w:val="21"/>
          <w:u w:val="single"/>
        </w:rPr>
        <w:t>Format of tender response submission</w:t>
      </w:r>
      <w:r>
        <w:rPr>
          <w:sz w:val="21"/>
        </w:rPr>
        <w:t xml:space="preserve"> – Tender responses must comprise the relevant documents specified by the British Council completed in all areas and in the format as detailed by the British Council in Annex [</w:t>
      </w:r>
      <w:r>
        <w:rPr>
          <w:sz w:val="21"/>
          <w:shd w:val="clear" w:color="auto" w:fill="FFFF00"/>
        </w:rPr>
        <w:t>3</w:t>
      </w:r>
      <w:r>
        <w:rPr>
          <w:sz w:val="21"/>
        </w:rPr>
        <w:t>] (Supplier Response). Any documents requested by the British Council must be completed in full. It is, therefore, important that you read the RFP carefully before completing and submitting your tender response.</w:t>
      </w:r>
    </w:p>
    <w:p w14:paraId="15610304" w14:textId="77777777" w:rsidR="0070592C" w:rsidRDefault="0070592C">
      <w:pPr>
        <w:pStyle w:val="BodyText"/>
        <w:spacing w:before="11"/>
        <w:rPr>
          <w:sz w:val="20"/>
        </w:rPr>
      </w:pPr>
    </w:p>
    <w:p w14:paraId="45BD76D0" w14:textId="77777777" w:rsidR="0070592C" w:rsidRDefault="00281EBC">
      <w:pPr>
        <w:pStyle w:val="ListParagraph"/>
        <w:numPr>
          <w:ilvl w:val="2"/>
          <w:numId w:val="4"/>
        </w:numPr>
        <w:tabs>
          <w:tab w:val="left" w:pos="835"/>
        </w:tabs>
        <w:spacing w:line="360" w:lineRule="auto"/>
        <w:ind w:right="106" w:firstLine="0"/>
        <w:jc w:val="both"/>
        <w:rPr>
          <w:sz w:val="21"/>
        </w:rPr>
      </w:pPr>
      <w:r>
        <w:rPr>
          <w:sz w:val="21"/>
          <w:u w:val="single"/>
        </w:rPr>
        <w:t>Modifications to tender response documents once submitted</w:t>
      </w:r>
      <w:r>
        <w:rPr>
          <w:sz w:val="21"/>
        </w:rPr>
        <w:t xml:space="preserve"> – You may modify your tender response prior to the Response Deadline by giving written notice to the British Council. Any modification should be clear and submitted as a complete new tender response in accordance with Annex [</w:t>
      </w:r>
      <w:r>
        <w:rPr>
          <w:sz w:val="21"/>
          <w:shd w:val="clear" w:color="auto" w:fill="FFFF00"/>
        </w:rPr>
        <w:t>3</w:t>
      </w:r>
      <w:r>
        <w:rPr>
          <w:sz w:val="21"/>
        </w:rPr>
        <w:t>] (Supplier Response) and these Tender</w:t>
      </w:r>
      <w:r>
        <w:rPr>
          <w:spacing w:val="-7"/>
          <w:sz w:val="21"/>
        </w:rPr>
        <w:t xml:space="preserve"> </w:t>
      </w:r>
      <w:r>
        <w:rPr>
          <w:sz w:val="21"/>
        </w:rPr>
        <w:t>Conditions.</w:t>
      </w:r>
    </w:p>
    <w:p w14:paraId="1083D28C" w14:textId="77777777" w:rsidR="0070592C" w:rsidRDefault="0070592C">
      <w:pPr>
        <w:pStyle w:val="BodyText"/>
        <w:spacing w:before="11"/>
        <w:rPr>
          <w:sz w:val="20"/>
        </w:rPr>
      </w:pPr>
    </w:p>
    <w:p w14:paraId="2C30F531" w14:textId="77777777" w:rsidR="0070592C" w:rsidRDefault="00281EBC">
      <w:pPr>
        <w:pStyle w:val="ListParagraph"/>
        <w:numPr>
          <w:ilvl w:val="2"/>
          <w:numId w:val="4"/>
        </w:numPr>
        <w:tabs>
          <w:tab w:val="left" w:pos="835"/>
        </w:tabs>
        <w:spacing w:line="360" w:lineRule="auto"/>
        <w:ind w:right="107" w:firstLine="0"/>
        <w:jc w:val="both"/>
        <w:rPr>
          <w:sz w:val="21"/>
        </w:rPr>
      </w:pPr>
      <w:r>
        <w:rPr>
          <w:sz w:val="21"/>
          <w:u w:val="single"/>
        </w:rPr>
        <w:t>Rejection of tender responses or other documents</w:t>
      </w:r>
      <w:r>
        <w:rPr>
          <w:sz w:val="21"/>
        </w:rPr>
        <w:t xml:space="preserve"> – A tender response or any other document requested by the British Council may be rejected</w:t>
      </w:r>
      <w:r>
        <w:rPr>
          <w:spacing w:val="-13"/>
          <w:sz w:val="21"/>
        </w:rPr>
        <w:t xml:space="preserve"> </w:t>
      </w:r>
      <w:r>
        <w:rPr>
          <w:sz w:val="21"/>
        </w:rPr>
        <w:t>which:</w:t>
      </w:r>
    </w:p>
    <w:p w14:paraId="6D3B1258" w14:textId="77777777" w:rsidR="0070592C" w:rsidRDefault="0070592C">
      <w:pPr>
        <w:spacing w:line="360" w:lineRule="auto"/>
        <w:jc w:val="both"/>
        <w:rPr>
          <w:sz w:val="21"/>
        </w:rPr>
        <w:sectPr w:rsidR="0070592C">
          <w:pgSz w:w="11910" w:h="16840"/>
          <w:pgMar w:top="1260" w:right="880" w:bottom="980" w:left="880" w:header="0" w:footer="800" w:gutter="0"/>
          <w:cols w:space="720"/>
        </w:sectPr>
      </w:pPr>
    </w:p>
    <w:p w14:paraId="0E3BA6FE" w14:textId="77777777" w:rsidR="0070592C" w:rsidRDefault="00281EBC">
      <w:pPr>
        <w:pStyle w:val="ListParagraph"/>
        <w:numPr>
          <w:ilvl w:val="3"/>
          <w:numId w:val="4"/>
        </w:numPr>
        <w:tabs>
          <w:tab w:val="left" w:pos="833"/>
          <w:tab w:val="left" w:pos="835"/>
        </w:tabs>
        <w:spacing w:before="85" w:line="352" w:lineRule="auto"/>
        <w:ind w:right="108"/>
        <w:jc w:val="left"/>
        <w:rPr>
          <w:sz w:val="21"/>
        </w:rPr>
      </w:pPr>
      <w:r>
        <w:rPr>
          <w:sz w:val="21"/>
        </w:rPr>
        <w:lastRenderedPageBreak/>
        <w:t>contains gaps, omissions, misrepresentations, errors, uncompleted sections, or changes to the format of the tender documentation</w:t>
      </w:r>
      <w:r>
        <w:rPr>
          <w:spacing w:val="-9"/>
          <w:sz w:val="21"/>
        </w:rPr>
        <w:t xml:space="preserve"> </w:t>
      </w:r>
      <w:r>
        <w:rPr>
          <w:sz w:val="21"/>
        </w:rPr>
        <w:t>provided;</w:t>
      </w:r>
    </w:p>
    <w:p w14:paraId="21821CD7" w14:textId="77777777" w:rsidR="0070592C" w:rsidRDefault="00281EBC">
      <w:pPr>
        <w:pStyle w:val="ListParagraph"/>
        <w:numPr>
          <w:ilvl w:val="3"/>
          <w:numId w:val="4"/>
        </w:numPr>
        <w:tabs>
          <w:tab w:val="left" w:pos="833"/>
          <w:tab w:val="left" w:pos="835"/>
        </w:tabs>
        <w:spacing w:before="7"/>
        <w:jc w:val="left"/>
        <w:rPr>
          <w:sz w:val="21"/>
        </w:rPr>
      </w:pPr>
      <w:r>
        <w:rPr>
          <w:sz w:val="21"/>
        </w:rPr>
        <w:t>contains hand written amendments which have not been initialled by the authorised</w:t>
      </w:r>
      <w:r>
        <w:rPr>
          <w:spacing w:val="-22"/>
          <w:sz w:val="21"/>
        </w:rPr>
        <w:t xml:space="preserve"> </w:t>
      </w:r>
      <w:r>
        <w:rPr>
          <w:sz w:val="21"/>
        </w:rPr>
        <w:t>signatory;</w:t>
      </w:r>
    </w:p>
    <w:p w14:paraId="17993149" w14:textId="77777777" w:rsidR="0070592C" w:rsidRDefault="00281EBC">
      <w:pPr>
        <w:pStyle w:val="ListParagraph"/>
        <w:numPr>
          <w:ilvl w:val="3"/>
          <w:numId w:val="4"/>
        </w:numPr>
        <w:tabs>
          <w:tab w:val="left" w:pos="833"/>
          <w:tab w:val="left" w:pos="835"/>
        </w:tabs>
        <w:spacing w:before="119" w:line="350" w:lineRule="auto"/>
        <w:ind w:right="115"/>
        <w:jc w:val="left"/>
        <w:rPr>
          <w:sz w:val="21"/>
        </w:rPr>
      </w:pPr>
      <w:r>
        <w:rPr>
          <w:sz w:val="21"/>
        </w:rPr>
        <w:t>does not reflect and confirm full and unconditional compliance with all of the documents issued by the British Council forming part of the</w:t>
      </w:r>
      <w:r>
        <w:rPr>
          <w:spacing w:val="-12"/>
          <w:sz w:val="21"/>
        </w:rPr>
        <w:t xml:space="preserve"> </w:t>
      </w:r>
      <w:r>
        <w:rPr>
          <w:sz w:val="21"/>
        </w:rPr>
        <w:t>RFP;</w:t>
      </w:r>
    </w:p>
    <w:p w14:paraId="6B047471" w14:textId="77777777" w:rsidR="0070592C" w:rsidRDefault="00281EBC">
      <w:pPr>
        <w:pStyle w:val="ListParagraph"/>
        <w:numPr>
          <w:ilvl w:val="3"/>
          <w:numId w:val="4"/>
        </w:numPr>
        <w:tabs>
          <w:tab w:val="left" w:pos="835"/>
        </w:tabs>
        <w:spacing w:before="9" w:line="355" w:lineRule="auto"/>
        <w:ind w:right="108"/>
        <w:rPr>
          <w:sz w:val="21"/>
        </w:rPr>
      </w:pPr>
      <w:r>
        <w:rPr>
          <w:sz w:val="21"/>
        </w:rPr>
        <w:t>contains any caveats or any other statements or assumptions qualifying the tender response that are not capable of evaluation in accordance with the evaluation model or requiring changes to any documents issued by the British Council in any</w:t>
      </w:r>
      <w:r>
        <w:rPr>
          <w:spacing w:val="-10"/>
          <w:sz w:val="21"/>
        </w:rPr>
        <w:t xml:space="preserve"> </w:t>
      </w:r>
      <w:r>
        <w:rPr>
          <w:sz w:val="21"/>
        </w:rPr>
        <w:t>way;</w:t>
      </w:r>
    </w:p>
    <w:p w14:paraId="24F3F25D" w14:textId="77777777" w:rsidR="0070592C" w:rsidRDefault="00281EBC">
      <w:pPr>
        <w:pStyle w:val="ListParagraph"/>
        <w:numPr>
          <w:ilvl w:val="3"/>
          <w:numId w:val="4"/>
        </w:numPr>
        <w:tabs>
          <w:tab w:val="left" w:pos="833"/>
          <w:tab w:val="left" w:pos="835"/>
        </w:tabs>
        <w:spacing w:before="6"/>
        <w:jc w:val="left"/>
        <w:rPr>
          <w:sz w:val="21"/>
        </w:rPr>
      </w:pPr>
      <w:r>
        <w:rPr>
          <w:sz w:val="21"/>
        </w:rPr>
        <w:t>is not submitted in a manner consistent with the provisions set out in this</w:t>
      </w:r>
      <w:r>
        <w:rPr>
          <w:spacing w:val="-24"/>
          <w:sz w:val="21"/>
        </w:rPr>
        <w:t xml:space="preserve"> </w:t>
      </w:r>
      <w:r>
        <w:rPr>
          <w:sz w:val="21"/>
        </w:rPr>
        <w:t>RFP;</w:t>
      </w:r>
    </w:p>
    <w:p w14:paraId="3DA58F0F" w14:textId="77777777" w:rsidR="0070592C" w:rsidRDefault="00281EBC">
      <w:pPr>
        <w:pStyle w:val="ListParagraph"/>
        <w:numPr>
          <w:ilvl w:val="3"/>
          <w:numId w:val="4"/>
        </w:numPr>
        <w:tabs>
          <w:tab w:val="left" w:pos="833"/>
          <w:tab w:val="left" w:pos="835"/>
        </w:tabs>
        <w:spacing w:before="120"/>
        <w:jc w:val="left"/>
        <w:rPr>
          <w:sz w:val="21"/>
        </w:rPr>
      </w:pPr>
      <w:r>
        <w:rPr>
          <w:sz w:val="21"/>
        </w:rPr>
        <w:t>is received after the Response</w:t>
      </w:r>
      <w:r>
        <w:rPr>
          <w:spacing w:val="-8"/>
          <w:sz w:val="21"/>
        </w:rPr>
        <w:t xml:space="preserve"> </w:t>
      </w:r>
      <w:r>
        <w:rPr>
          <w:sz w:val="21"/>
        </w:rPr>
        <w:t>Deadline.</w:t>
      </w:r>
    </w:p>
    <w:p w14:paraId="136E11E9" w14:textId="77777777" w:rsidR="0070592C" w:rsidRDefault="0070592C">
      <w:pPr>
        <w:pStyle w:val="BodyText"/>
        <w:spacing w:before="3"/>
        <w:rPr>
          <w:sz w:val="31"/>
        </w:rPr>
      </w:pPr>
    </w:p>
    <w:p w14:paraId="00B1DADC" w14:textId="77777777" w:rsidR="0070592C" w:rsidRDefault="00281EBC">
      <w:pPr>
        <w:pStyle w:val="ListParagraph"/>
        <w:numPr>
          <w:ilvl w:val="2"/>
          <w:numId w:val="4"/>
        </w:numPr>
        <w:tabs>
          <w:tab w:val="left" w:pos="835"/>
        </w:tabs>
        <w:spacing w:line="360" w:lineRule="auto"/>
        <w:ind w:right="106" w:firstLine="0"/>
        <w:jc w:val="both"/>
        <w:rPr>
          <w:sz w:val="21"/>
        </w:rPr>
      </w:pPr>
      <w:r>
        <w:rPr>
          <w:sz w:val="21"/>
          <w:u w:val="single"/>
        </w:rPr>
        <w:t>Disqualification</w:t>
      </w:r>
      <w:r>
        <w:rPr>
          <w:sz w:val="21"/>
        </w:rPr>
        <w:t xml:space="preserve"> – If you breach these Tender Conditions, if there are any errors, omissions or material adverse changes relating to any information supplied by you </w:t>
      </w:r>
      <w:r>
        <w:rPr>
          <w:spacing w:val="2"/>
          <w:sz w:val="21"/>
        </w:rPr>
        <w:t xml:space="preserve">at </w:t>
      </w:r>
      <w:r>
        <w:rPr>
          <w:sz w:val="21"/>
        </w:rPr>
        <w:t>any stage in this Procurement Process, if any other circumstances set out in this RFP, and/or in any supporting documents, entitling the British Council to reject a tender response apply and/or if you or your appointed advisers</w:t>
      </w:r>
      <w:r>
        <w:rPr>
          <w:spacing w:val="-22"/>
          <w:sz w:val="21"/>
        </w:rPr>
        <w:t xml:space="preserve"> </w:t>
      </w:r>
      <w:r>
        <w:rPr>
          <w:sz w:val="21"/>
        </w:rPr>
        <w:t>attempt:</w:t>
      </w:r>
    </w:p>
    <w:p w14:paraId="4225DAC6" w14:textId="77777777" w:rsidR="0070592C" w:rsidRDefault="00281EBC">
      <w:pPr>
        <w:pStyle w:val="ListParagraph"/>
        <w:numPr>
          <w:ilvl w:val="3"/>
          <w:numId w:val="4"/>
        </w:numPr>
        <w:tabs>
          <w:tab w:val="left" w:pos="833"/>
          <w:tab w:val="left" w:pos="835"/>
        </w:tabs>
        <w:spacing w:line="256" w:lineRule="exact"/>
        <w:jc w:val="left"/>
        <w:rPr>
          <w:sz w:val="21"/>
        </w:rPr>
      </w:pPr>
      <w:r>
        <w:rPr>
          <w:sz w:val="21"/>
        </w:rPr>
        <w:t>to inappropriately influence this Procurement</w:t>
      </w:r>
      <w:r>
        <w:rPr>
          <w:spacing w:val="-7"/>
          <w:sz w:val="21"/>
        </w:rPr>
        <w:t xml:space="preserve"> </w:t>
      </w:r>
      <w:r>
        <w:rPr>
          <w:sz w:val="21"/>
        </w:rPr>
        <w:t>Process;</w:t>
      </w:r>
    </w:p>
    <w:p w14:paraId="4146C841" w14:textId="77777777" w:rsidR="0070592C" w:rsidRDefault="00281EBC">
      <w:pPr>
        <w:pStyle w:val="ListParagraph"/>
        <w:numPr>
          <w:ilvl w:val="3"/>
          <w:numId w:val="4"/>
        </w:numPr>
        <w:tabs>
          <w:tab w:val="left" w:pos="833"/>
          <w:tab w:val="left" w:pos="835"/>
        </w:tabs>
        <w:spacing w:before="119"/>
        <w:jc w:val="left"/>
        <w:rPr>
          <w:sz w:val="21"/>
        </w:rPr>
      </w:pPr>
      <w:r>
        <w:rPr>
          <w:sz w:val="21"/>
        </w:rPr>
        <w:t>to fix or set the price for goods or services</w:t>
      </w:r>
      <w:r>
        <w:rPr>
          <w:spacing w:val="-13"/>
          <w:sz w:val="21"/>
        </w:rPr>
        <w:t xml:space="preserve"> </w:t>
      </w:r>
      <w:r>
        <w:rPr>
          <w:sz w:val="21"/>
        </w:rPr>
        <w:t>;</w:t>
      </w:r>
    </w:p>
    <w:p w14:paraId="537D4140" w14:textId="77777777" w:rsidR="0070592C" w:rsidRDefault="00281EBC">
      <w:pPr>
        <w:pStyle w:val="ListParagraph"/>
        <w:numPr>
          <w:ilvl w:val="3"/>
          <w:numId w:val="4"/>
        </w:numPr>
        <w:tabs>
          <w:tab w:val="left" w:pos="833"/>
          <w:tab w:val="left" w:pos="835"/>
        </w:tabs>
        <w:spacing w:before="120" w:line="352" w:lineRule="auto"/>
        <w:ind w:right="106"/>
        <w:jc w:val="left"/>
        <w:rPr>
          <w:sz w:val="21"/>
        </w:rPr>
      </w:pPr>
      <w:r>
        <w:rPr>
          <w:sz w:val="21"/>
        </w:rPr>
        <w:t>to enter into an arrangement with any other party that such party shall refrain from submitting a tender</w:t>
      </w:r>
      <w:r>
        <w:rPr>
          <w:spacing w:val="-2"/>
          <w:sz w:val="21"/>
        </w:rPr>
        <w:t xml:space="preserve"> </w:t>
      </w:r>
      <w:r>
        <w:rPr>
          <w:sz w:val="21"/>
        </w:rPr>
        <w:t>response;</w:t>
      </w:r>
    </w:p>
    <w:p w14:paraId="073D13B6" w14:textId="77777777" w:rsidR="0070592C" w:rsidRDefault="00281EBC">
      <w:pPr>
        <w:pStyle w:val="ListParagraph"/>
        <w:numPr>
          <w:ilvl w:val="3"/>
          <w:numId w:val="4"/>
        </w:numPr>
        <w:tabs>
          <w:tab w:val="left" w:pos="833"/>
          <w:tab w:val="left" w:pos="835"/>
        </w:tabs>
        <w:spacing w:before="6" w:line="350" w:lineRule="auto"/>
        <w:ind w:right="108"/>
        <w:jc w:val="left"/>
        <w:rPr>
          <w:sz w:val="21"/>
        </w:rPr>
      </w:pPr>
      <w:r>
        <w:rPr>
          <w:sz w:val="21"/>
        </w:rPr>
        <w:t>to enter into any arrangement with any other party (other than another party that forms part of your consortium bid or is your proposed sub-contractor) as to the prices submitted;</w:t>
      </w:r>
      <w:r>
        <w:rPr>
          <w:spacing w:val="-18"/>
          <w:sz w:val="21"/>
        </w:rPr>
        <w:t xml:space="preserve"> </w:t>
      </w:r>
      <w:r>
        <w:rPr>
          <w:sz w:val="21"/>
        </w:rPr>
        <w:t>or</w:t>
      </w:r>
    </w:p>
    <w:p w14:paraId="4D29F054" w14:textId="77777777" w:rsidR="0070592C" w:rsidRDefault="00281EBC">
      <w:pPr>
        <w:pStyle w:val="ListParagraph"/>
        <w:numPr>
          <w:ilvl w:val="3"/>
          <w:numId w:val="4"/>
        </w:numPr>
        <w:tabs>
          <w:tab w:val="left" w:pos="833"/>
          <w:tab w:val="left" w:pos="835"/>
        </w:tabs>
        <w:spacing w:before="11"/>
        <w:jc w:val="left"/>
        <w:rPr>
          <w:sz w:val="21"/>
        </w:rPr>
      </w:pPr>
      <w:r>
        <w:rPr>
          <w:sz w:val="21"/>
        </w:rPr>
        <w:t>to collude in any other</w:t>
      </w:r>
      <w:r>
        <w:rPr>
          <w:spacing w:val="-8"/>
          <w:sz w:val="21"/>
        </w:rPr>
        <w:t xml:space="preserve"> </w:t>
      </w:r>
      <w:r>
        <w:rPr>
          <w:sz w:val="21"/>
        </w:rPr>
        <w:t>way</w:t>
      </w:r>
    </w:p>
    <w:p w14:paraId="5CF59DBB" w14:textId="77777777" w:rsidR="0070592C" w:rsidRDefault="00281EBC">
      <w:pPr>
        <w:pStyle w:val="ListParagraph"/>
        <w:numPr>
          <w:ilvl w:val="3"/>
          <w:numId w:val="4"/>
        </w:numPr>
        <w:tabs>
          <w:tab w:val="left" w:pos="833"/>
          <w:tab w:val="left" w:pos="835"/>
        </w:tabs>
        <w:spacing w:before="118" w:line="350" w:lineRule="auto"/>
        <w:ind w:right="107"/>
        <w:jc w:val="left"/>
        <w:rPr>
          <w:sz w:val="21"/>
        </w:rPr>
      </w:pPr>
      <w:r>
        <w:rPr>
          <w:sz w:val="21"/>
        </w:rPr>
        <w:t>to engage in direct or indirect bribery or canvassing by you or your appointed advisers in relation to this Procurement Process;</w:t>
      </w:r>
      <w:r>
        <w:rPr>
          <w:spacing w:val="-6"/>
          <w:sz w:val="21"/>
        </w:rPr>
        <w:t xml:space="preserve"> </w:t>
      </w:r>
      <w:r>
        <w:rPr>
          <w:sz w:val="21"/>
        </w:rPr>
        <w:t>or</w:t>
      </w:r>
    </w:p>
    <w:p w14:paraId="55B0F941" w14:textId="77777777" w:rsidR="0070592C" w:rsidRDefault="00281EBC">
      <w:pPr>
        <w:pStyle w:val="ListParagraph"/>
        <w:numPr>
          <w:ilvl w:val="3"/>
          <w:numId w:val="4"/>
        </w:numPr>
        <w:tabs>
          <w:tab w:val="left" w:pos="835"/>
        </w:tabs>
        <w:spacing w:before="11" w:line="355" w:lineRule="auto"/>
        <w:ind w:right="111"/>
        <w:rPr>
          <w:sz w:val="21"/>
        </w:rPr>
      </w:pPr>
      <w:r>
        <w:rPr>
          <w:sz w:val="21"/>
        </w:rPr>
        <w:t>to obtain information from any of the employees, agents or advisors of the British Council concerning this Procurement Process (other than as set out in these Tender Conditions) or from another potential supplier or another tender</w:t>
      </w:r>
      <w:r>
        <w:rPr>
          <w:spacing w:val="-12"/>
          <w:sz w:val="21"/>
        </w:rPr>
        <w:t xml:space="preserve"> </w:t>
      </w:r>
      <w:r>
        <w:rPr>
          <w:sz w:val="21"/>
        </w:rPr>
        <w:t>response,</w:t>
      </w:r>
    </w:p>
    <w:p w14:paraId="01572927" w14:textId="77777777" w:rsidR="0070592C" w:rsidRDefault="0070592C">
      <w:pPr>
        <w:pStyle w:val="BodyText"/>
        <w:spacing w:before="4"/>
      </w:pPr>
    </w:p>
    <w:p w14:paraId="07D27E49" w14:textId="77777777" w:rsidR="0070592C" w:rsidRDefault="00281EBC">
      <w:pPr>
        <w:pStyle w:val="BodyText"/>
        <w:spacing w:before="1" w:line="360" w:lineRule="auto"/>
        <w:ind w:left="113" w:right="111"/>
        <w:jc w:val="both"/>
      </w:pPr>
      <w: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31436414" w14:textId="77777777" w:rsidR="0070592C" w:rsidRDefault="0070592C">
      <w:pPr>
        <w:pStyle w:val="BodyText"/>
        <w:spacing w:before="10"/>
        <w:rPr>
          <w:sz w:val="20"/>
        </w:rPr>
      </w:pPr>
    </w:p>
    <w:p w14:paraId="01632308" w14:textId="77777777" w:rsidR="0070592C" w:rsidRDefault="00281EBC">
      <w:pPr>
        <w:pStyle w:val="ListParagraph"/>
        <w:numPr>
          <w:ilvl w:val="2"/>
          <w:numId w:val="4"/>
        </w:numPr>
        <w:tabs>
          <w:tab w:val="left" w:pos="835"/>
        </w:tabs>
        <w:spacing w:line="360" w:lineRule="auto"/>
        <w:ind w:right="107" w:firstLine="0"/>
        <w:jc w:val="both"/>
        <w:rPr>
          <w:sz w:val="21"/>
        </w:rPr>
      </w:pPr>
      <w:r>
        <w:rPr>
          <w:sz w:val="21"/>
          <w:u w:val="single"/>
        </w:rPr>
        <w:t>Tender costs</w:t>
      </w:r>
      <w:r>
        <w:rPr>
          <w:sz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w:t>
      </w:r>
      <w:r>
        <w:rPr>
          <w:spacing w:val="-14"/>
          <w:sz w:val="21"/>
        </w:rPr>
        <w:t xml:space="preserve"> </w:t>
      </w:r>
      <w:r>
        <w:rPr>
          <w:sz w:val="21"/>
        </w:rPr>
        <w:t>successful.</w:t>
      </w:r>
    </w:p>
    <w:p w14:paraId="534397E0" w14:textId="77777777" w:rsidR="0070592C" w:rsidRDefault="0070592C">
      <w:pPr>
        <w:spacing w:line="360" w:lineRule="auto"/>
        <w:jc w:val="both"/>
        <w:rPr>
          <w:sz w:val="21"/>
        </w:rPr>
        <w:sectPr w:rsidR="0070592C">
          <w:pgSz w:w="11910" w:h="16840"/>
          <w:pgMar w:top="1240" w:right="880" w:bottom="980" w:left="880" w:header="0" w:footer="800" w:gutter="0"/>
          <w:cols w:space="720"/>
        </w:sectPr>
      </w:pPr>
    </w:p>
    <w:p w14:paraId="632643C7" w14:textId="77777777" w:rsidR="0070592C" w:rsidRDefault="00281EBC">
      <w:pPr>
        <w:pStyle w:val="ListParagraph"/>
        <w:numPr>
          <w:ilvl w:val="2"/>
          <w:numId w:val="4"/>
        </w:numPr>
        <w:tabs>
          <w:tab w:val="left" w:pos="835"/>
        </w:tabs>
        <w:spacing w:before="65" w:line="360" w:lineRule="auto"/>
        <w:ind w:right="107" w:firstLine="0"/>
        <w:jc w:val="both"/>
        <w:rPr>
          <w:sz w:val="21"/>
        </w:rPr>
      </w:pPr>
      <w:r>
        <w:rPr>
          <w:sz w:val="21"/>
          <w:u w:val="single"/>
        </w:rPr>
        <w:lastRenderedPageBreak/>
        <w:t>Rights to cancel or vary this Procurement Process</w:t>
      </w:r>
      <w:r>
        <w:rPr>
          <w:sz w:val="21"/>
        </w:rPr>
        <w:t xml:space="preserve"> - By issuing this RFP,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 with the provisions of this RFP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w:t>
      </w:r>
      <w:r>
        <w:rPr>
          <w:spacing w:val="-7"/>
          <w:sz w:val="21"/>
        </w:rPr>
        <w:t xml:space="preserve"> </w:t>
      </w:r>
      <w:r>
        <w:rPr>
          <w:sz w:val="21"/>
        </w:rPr>
        <w:t>variation.</w:t>
      </w:r>
    </w:p>
    <w:p w14:paraId="4E031D5B" w14:textId="77777777" w:rsidR="0070592C" w:rsidRDefault="0070592C">
      <w:pPr>
        <w:pStyle w:val="BodyText"/>
        <w:spacing w:before="10"/>
        <w:rPr>
          <w:sz w:val="20"/>
        </w:rPr>
      </w:pPr>
    </w:p>
    <w:p w14:paraId="688A13C2" w14:textId="77777777" w:rsidR="0070592C" w:rsidRDefault="00281EBC">
      <w:pPr>
        <w:pStyle w:val="ListParagraph"/>
        <w:numPr>
          <w:ilvl w:val="2"/>
          <w:numId w:val="4"/>
        </w:numPr>
        <w:tabs>
          <w:tab w:val="left" w:pos="835"/>
        </w:tabs>
        <w:spacing w:line="360" w:lineRule="auto"/>
        <w:ind w:right="106" w:firstLine="0"/>
        <w:jc w:val="both"/>
        <w:rPr>
          <w:sz w:val="21"/>
        </w:rPr>
      </w:pPr>
      <w:r>
        <w:rPr>
          <w:sz w:val="21"/>
          <w:u w:val="single"/>
        </w:rPr>
        <w:t>Consortium Members and sub-contractors</w:t>
      </w:r>
      <w:r>
        <w:rPr>
          <w:sz w:val="21"/>
        </w:rPr>
        <w:t xml:space="preserve"> – It is your responsibility to ensure that any staff, consortium members, sub-contractors and advisers abide by these Tender Conditions and the requirement of this</w:t>
      </w:r>
      <w:r>
        <w:rPr>
          <w:spacing w:val="-3"/>
          <w:sz w:val="21"/>
        </w:rPr>
        <w:t xml:space="preserve"> </w:t>
      </w:r>
      <w:r>
        <w:rPr>
          <w:sz w:val="21"/>
        </w:rPr>
        <w:t>RFP.</w:t>
      </w:r>
    </w:p>
    <w:p w14:paraId="1424E24E" w14:textId="77777777" w:rsidR="0070592C" w:rsidRDefault="0070592C">
      <w:pPr>
        <w:pStyle w:val="BodyText"/>
        <w:spacing w:before="11"/>
        <w:rPr>
          <w:sz w:val="20"/>
        </w:rPr>
      </w:pPr>
    </w:p>
    <w:p w14:paraId="660A823B" w14:textId="77777777" w:rsidR="0070592C" w:rsidRDefault="00281EBC">
      <w:pPr>
        <w:pStyle w:val="ListParagraph"/>
        <w:numPr>
          <w:ilvl w:val="2"/>
          <w:numId w:val="4"/>
        </w:numPr>
        <w:tabs>
          <w:tab w:val="left" w:pos="835"/>
        </w:tabs>
        <w:spacing w:line="360" w:lineRule="auto"/>
        <w:ind w:right="116" w:firstLine="0"/>
        <w:jc w:val="both"/>
        <w:rPr>
          <w:sz w:val="21"/>
        </w:rPr>
      </w:pPr>
      <w:r>
        <w:rPr>
          <w:sz w:val="21"/>
          <w:u w:val="single"/>
        </w:rPr>
        <w:t>Liability</w:t>
      </w:r>
      <w:r>
        <w:rPr>
          <w:sz w:val="21"/>
        </w:rPr>
        <w:t xml:space="preserve"> – Nothing in these Tender Conditions is intended to exclude or limit the liability of the British Council in relation to fraud or in other circumstances where the British Council’s liability may not be limited under any applicable</w:t>
      </w:r>
      <w:r>
        <w:rPr>
          <w:spacing w:val="-5"/>
          <w:sz w:val="21"/>
        </w:rPr>
        <w:t xml:space="preserve"> </w:t>
      </w:r>
      <w:r>
        <w:rPr>
          <w:sz w:val="21"/>
        </w:rPr>
        <w:t>law.</w:t>
      </w:r>
    </w:p>
    <w:p w14:paraId="3C32FE9B" w14:textId="77777777" w:rsidR="0070592C" w:rsidRDefault="0070592C">
      <w:pPr>
        <w:pStyle w:val="BodyText"/>
        <w:rPr>
          <w:sz w:val="24"/>
        </w:rPr>
      </w:pPr>
    </w:p>
    <w:p w14:paraId="0B5E4CBD" w14:textId="77777777" w:rsidR="0070592C" w:rsidRDefault="0070592C">
      <w:pPr>
        <w:pStyle w:val="BodyText"/>
        <w:rPr>
          <w:sz w:val="24"/>
        </w:rPr>
      </w:pPr>
    </w:p>
    <w:p w14:paraId="3BB2ACA0" w14:textId="77777777" w:rsidR="0070592C" w:rsidRDefault="0070592C">
      <w:pPr>
        <w:pStyle w:val="BodyText"/>
        <w:spacing w:before="11"/>
        <w:rPr>
          <w:sz w:val="23"/>
        </w:rPr>
      </w:pPr>
    </w:p>
    <w:p w14:paraId="50955848" w14:textId="77777777" w:rsidR="0070592C" w:rsidRDefault="00281EBC">
      <w:pPr>
        <w:pStyle w:val="Heading1"/>
        <w:numPr>
          <w:ilvl w:val="0"/>
          <w:numId w:val="4"/>
        </w:numPr>
        <w:tabs>
          <w:tab w:val="left" w:pos="835"/>
        </w:tabs>
        <w:jc w:val="both"/>
      </w:pPr>
      <w:r>
        <w:t>Confidentiality and Information</w:t>
      </w:r>
      <w:r>
        <w:rPr>
          <w:spacing w:val="-1"/>
        </w:rPr>
        <w:t xml:space="preserve"> </w:t>
      </w:r>
      <w:r>
        <w:t>Governance</w:t>
      </w:r>
    </w:p>
    <w:p w14:paraId="0C689A0D" w14:textId="77777777" w:rsidR="0070592C" w:rsidRDefault="0070592C">
      <w:pPr>
        <w:pStyle w:val="BodyText"/>
        <w:spacing w:before="8"/>
        <w:rPr>
          <w:b/>
          <w:sz w:val="32"/>
        </w:rPr>
      </w:pPr>
    </w:p>
    <w:p w14:paraId="23EA9AAC" w14:textId="77777777" w:rsidR="0070592C" w:rsidRDefault="00281EBC">
      <w:pPr>
        <w:pStyle w:val="ListParagraph"/>
        <w:numPr>
          <w:ilvl w:val="1"/>
          <w:numId w:val="3"/>
        </w:numPr>
        <w:tabs>
          <w:tab w:val="left" w:pos="835"/>
        </w:tabs>
        <w:spacing w:line="360" w:lineRule="auto"/>
        <w:ind w:right="107" w:firstLine="0"/>
        <w:jc w:val="both"/>
        <w:rPr>
          <w:sz w:val="21"/>
        </w:rPr>
      </w:pPr>
      <w:r>
        <w:rPr>
          <w:sz w:val="21"/>
        </w:rPr>
        <w:t>All information supplied to you by the British Council, including this RFP and all other documents relating to this Procurement Process, either in writing or orally, must be treated in confidence and not disclosed to any third party (save to your professional advisers, consortium members and/or sub- contractors strictly for the purposes only of helping you to participate in this Procurement Process and/or prepare your tender response) unless the information is already in the public domain or is required to be disclosed under any applicable</w:t>
      </w:r>
      <w:r>
        <w:rPr>
          <w:spacing w:val="-5"/>
          <w:sz w:val="21"/>
        </w:rPr>
        <w:t xml:space="preserve"> </w:t>
      </w:r>
      <w:r>
        <w:rPr>
          <w:sz w:val="21"/>
        </w:rPr>
        <w:t>laws.</w:t>
      </w:r>
    </w:p>
    <w:p w14:paraId="7A3C89EE" w14:textId="77777777" w:rsidR="0070592C" w:rsidRDefault="0070592C">
      <w:pPr>
        <w:pStyle w:val="BodyText"/>
      </w:pPr>
    </w:p>
    <w:p w14:paraId="7F845A4E" w14:textId="77777777" w:rsidR="0070592C" w:rsidRDefault="00281EBC">
      <w:pPr>
        <w:pStyle w:val="ListParagraph"/>
        <w:numPr>
          <w:ilvl w:val="1"/>
          <w:numId w:val="3"/>
        </w:numPr>
        <w:tabs>
          <w:tab w:val="left" w:pos="835"/>
        </w:tabs>
        <w:spacing w:line="360" w:lineRule="auto"/>
        <w:ind w:right="108" w:firstLine="0"/>
        <w:jc w:val="both"/>
        <w:rPr>
          <w:sz w:val="21"/>
        </w:rPr>
      </w:pPr>
      <w:r>
        <w:rPr>
          <w:sz w:val="21"/>
        </w:rPr>
        <w:t>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w:t>
      </w:r>
      <w:r>
        <w:rPr>
          <w:spacing w:val="-15"/>
          <w:sz w:val="21"/>
        </w:rPr>
        <w:t xml:space="preserve"> </w:t>
      </w:r>
      <w:r>
        <w:rPr>
          <w:sz w:val="21"/>
        </w:rPr>
        <w:t>communication.</w:t>
      </w:r>
    </w:p>
    <w:p w14:paraId="13896371" w14:textId="77777777" w:rsidR="0070592C" w:rsidRDefault="0070592C">
      <w:pPr>
        <w:pStyle w:val="BodyText"/>
        <w:spacing w:before="8"/>
        <w:rPr>
          <w:sz w:val="20"/>
        </w:rPr>
      </w:pPr>
    </w:p>
    <w:p w14:paraId="18B89855" w14:textId="77777777" w:rsidR="0070592C" w:rsidRDefault="00281EBC">
      <w:pPr>
        <w:pStyle w:val="ListParagraph"/>
        <w:numPr>
          <w:ilvl w:val="1"/>
          <w:numId w:val="3"/>
        </w:numPr>
        <w:tabs>
          <w:tab w:val="left" w:pos="835"/>
        </w:tabs>
        <w:spacing w:line="360" w:lineRule="auto"/>
        <w:ind w:right="112" w:firstLine="0"/>
        <w:jc w:val="both"/>
        <w:rPr>
          <w:sz w:val="21"/>
        </w:rPr>
      </w:pPr>
      <w:r>
        <w:rPr>
          <w:sz w:val="21"/>
        </w:rPr>
        <w:t>This RFP and its accompanying documents shall remain the property of the British Council and must be returned on</w:t>
      </w:r>
      <w:r>
        <w:rPr>
          <w:spacing w:val="-8"/>
          <w:sz w:val="21"/>
        </w:rPr>
        <w:t xml:space="preserve"> </w:t>
      </w:r>
      <w:r>
        <w:rPr>
          <w:sz w:val="21"/>
        </w:rPr>
        <w:t>demand.</w:t>
      </w:r>
    </w:p>
    <w:p w14:paraId="7CB8A3C8" w14:textId="77777777" w:rsidR="0070592C" w:rsidRDefault="0070592C">
      <w:pPr>
        <w:pStyle w:val="BodyText"/>
        <w:spacing w:before="11"/>
        <w:rPr>
          <w:sz w:val="20"/>
        </w:rPr>
      </w:pPr>
    </w:p>
    <w:p w14:paraId="5270249E" w14:textId="77777777" w:rsidR="0070592C" w:rsidRDefault="00281EBC">
      <w:pPr>
        <w:pStyle w:val="ListParagraph"/>
        <w:numPr>
          <w:ilvl w:val="1"/>
          <w:numId w:val="3"/>
        </w:numPr>
        <w:tabs>
          <w:tab w:val="left" w:pos="835"/>
        </w:tabs>
        <w:spacing w:line="360" w:lineRule="auto"/>
        <w:ind w:right="106" w:firstLine="0"/>
        <w:jc w:val="both"/>
        <w:rPr>
          <w:sz w:val="21"/>
        </w:rPr>
      </w:pPr>
      <w:r>
        <w:rPr>
          <w:sz w:val="21"/>
        </w:rPr>
        <w:t>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w:t>
      </w:r>
      <w:r>
        <w:rPr>
          <w:spacing w:val="24"/>
          <w:sz w:val="21"/>
        </w:rPr>
        <w:t xml:space="preserve"> </w:t>
      </w:r>
      <w:r>
        <w:rPr>
          <w:sz w:val="21"/>
        </w:rPr>
        <w:t>disclose information in connection with supplier performance under the Contract in accordance with any</w:t>
      </w:r>
      <w:r>
        <w:rPr>
          <w:spacing w:val="26"/>
          <w:sz w:val="21"/>
        </w:rPr>
        <w:t xml:space="preserve"> </w:t>
      </w:r>
      <w:r>
        <w:rPr>
          <w:sz w:val="21"/>
        </w:rPr>
        <w:t>public</w:t>
      </w:r>
    </w:p>
    <w:p w14:paraId="3339B012" w14:textId="77777777" w:rsidR="0070592C" w:rsidRDefault="0070592C">
      <w:pPr>
        <w:spacing w:line="360" w:lineRule="auto"/>
        <w:jc w:val="both"/>
        <w:rPr>
          <w:sz w:val="21"/>
        </w:rPr>
        <w:sectPr w:rsidR="0070592C">
          <w:pgSz w:w="11910" w:h="16840"/>
          <w:pgMar w:top="1260" w:right="880" w:bottom="980" w:left="880" w:header="0" w:footer="800" w:gutter="0"/>
          <w:cols w:space="720"/>
        </w:sectPr>
      </w:pPr>
    </w:p>
    <w:p w14:paraId="472460E1" w14:textId="77777777" w:rsidR="0070592C" w:rsidRDefault="00281EBC">
      <w:pPr>
        <w:pStyle w:val="BodyText"/>
        <w:spacing w:before="65" w:line="360" w:lineRule="auto"/>
        <w:ind w:left="113" w:right="111"/>
        <w:jc w:val="both"/>
      </w:pPr>
      <w:r>
        <w:lastRenderedPageBreak/>
        <w:t>sector transparency policies (as referred to below). By participating in this Procurement Process, you agree to such disclosure and/or publication by the British Council in accordance with such rights reserved by it under this</w:t>
      </w:r>
      <w:r>
        <w:rPr>
          <w:spacing w:val="-6"/>
        </w:rPr>
        <w:t xml:space="preserve"> </w:t>
      </w:r>
      <w:r>
        <w:t>paragraph.</w:t>
      </w:r>
    </w:p>
    <w:p w14:paraId="59A5765F" w14:textId="77777777" w:rsidR="0070592C" w:rsidRDefault="0070592C">
      <w:pPr>
        <w:pStyle w:val="BodyText"/>
        <w:spacing w:before="11"/>
        <w:rPr>
          <w:sz w:val="20"/>
        </w:rPr>
      </w:pPr>
    </w:p>
    <w:p w14:paraId="3BBB0429" w14:textId="77777777" w:rsidR="0070592C" w:rsidRDefault="00281EBC">
      <w:pPr>
        <w:pStyle w:val="ListParagraph"/>
        <w:numPr>
          <w:ilvl w:val="1"/>
          <w:numId w:val="3"/>
        </w:numPr>
        <w:tabs>
          <w:tab w:val="left" w:pos="835"/>
        </w:tabs>
        <w:spacing w:line="360" w:lineRule="auto"/>
        <w:ind w:right="108" w:firstLine="0"/>
        <w:jc w:val="both"/>
        <w:rPr>
          <w:sz w:val="21"/>
        </w:rPr>
      </w:pPr>
      <w:r>
        <w:rPr>
          <w:sz w:val="21"/>
        </w:rPr>
        <w:t>The Freedom of Information Act 2000 (“FOIA”), the Environmental Information Regulations 2004 (“EIR”), and public sector transparency policies apply to the British Council (together the “</w:t>
      </w:r>
      <w:r>
        <w:rPr>
          <w:b/>
          <w:sz w:val="21"/>
        </w:rPr>
        <w:t>Disclosure Obligations</w:t>
      </w:r>
      <w:r>
        <w:rPr>
          <w:sz w:val="21"/>
        </w:rPr>
        <w:t>”).</w:t>
      </w:r>
    </w:p>
    <w:p w14:paraId="109B7715" w14:textId="77777777" w:rsidR="0070592C" w:rsidRDefault="0070592C">
      <w:pPr>
        <w:pStyle w:val="BodyText"/>
        <w:spacing w:before="10"/>
        <w:rPr>
          <w:sz w:val="20"/>
        </w:rPr>
      </w:pPr>
    </w:p>
    <w:p w14:paraId="37342078" w14:textId="77777777" w:rsidR="0070592C" w:rsidRDefault="00281EBC">
      <w:pPr>
        <w:pStyle w:val="ListParagraph"/>
        <w:numPr>
          <w:ilvl w:val="1"/>
          <w:numId w:val="3"/>
        </w:numPr>
        <w:tabs>
          <w:tab w:val="left" w:pos="835"/>
        </w:tabs>
        <w:spacing w:before="1" w:line="360" w:lineRule="auto"/>
        <w:ind w:right="107" w:firstLine="0"/>
        <w:jc w:val="both"/>
        <w:rPr>
          <w:sz w:val="21"/>
        </w:rPr>
      </w:pPr>
      <w:r>
        <w:rPr>
          <w:sz w:val="21"/>
        </w:rPr>
        <w:t>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w:t>
      </w:r>
      <w:r>
        <w:rPr>
          <w:spacing w:val="-18"/>
          <w:sz w:val="21"/>
        </w:rPr>
        <w:t xml:space="preserve"> </w:t>
      </w:r>
      <w:r>
        <w:rPr>
          <w:sz w:val="21"/>
        </w:rPr>
        <w:t>applies.</w:t>
      </w:r>
    </w:p>
    <w:p w14:paraId="65CE6C24" w14:textId="77777777" w:rsidR="0070592C" w:rsidRDefault="0070592C">
      <w:pPr>
        <w:pStyle w:val="BodyText"/>
        <w:spacing w:before="9"/>
        <w:rPr>
          <w:sz w:val="20"/>
        </w:rPr>
      </w:pPr>
    </w:p>
    <w:p w14:paraId="3B178508" w14:textId="4F8A5FA8" w:rsidR="0070592C" w:rsidRDefault="00281EBC">
      <w:pPr>
        <w:pStyle w:val="ListParagraph"/>
        <w:numPr>
          <w:ilvl w:val="1"/>
          <w:numId w:val="3"/>
        </w:numPr>
        <w:tabs>
          <w:tab w:val="left" w:pos="835"/>
        </w:tabs>
        <w:spacing w:line="360" w:lineRule="auto"/>
        <w:ind w:right="107" w:firstLine="0"/>
        <w:jc w:val="both"/>
        <w:rPr>
          <w:sz w:val="21"/>
        </w:rPr>
      </w:pPr>
      <w:r>
        <w:rPr>
          <w:noProof/>
        </w:rPr>
        <mc:AlternateContent>
          <mc:Choice Requires="wps">
            <w:drawing>
              <wp:anchor distT="0" distB="0" distL="114300" distR="114300" simplePos="0" relativeHeight="503303936" behindDoc="1" locked="0" layoutInCell="1" allowOverlap="1" wp14:anchorId="5B8104C7" wp14:editId="76E5235B">
                <wp:simplePos x="0" y="0"/>
                <wp:positionH relativeFrom="page">
                  <wp:posOffset>1156335</wp:posOffset>
                </wp:positionH>
                <wp:positionV relativeFrom="paragraph">
                  <wp:posOffset>460375</wp:posOffset>
                </wp:positionV>
                <wp:extent cx="0" cy="153670"/>
                <wp:effectExtent l="41910" t="41275" r="43815" b="4318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line">
                          <a:avLst/>
                        </a:prstGeom>
                        <a:noFill/>
                        <a:ln w="74676">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4AFA1" id="Line 3" o:spid="_x0000_s1026" style="position:absolute;z-index:-1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05pt,36.25pt" to="91.0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" strokecolor="yellow" strokeweight="5.88pt">
                <w10:wrap anchorx="page"/>
              </v:line>
            </w:pict>
          </mc:Fallback>
        </mc:AlternateContent>
      </w:r>
      <w:r>
        <w:rPr>
          <w:noProof/>
        </w:rPr>
        <mc:AlternateContent>
          <mc:Choice Requires="wps">
            <w:drawing>
              <wp:anchor distT="0" distB="0" distL="114300" distR="114300" simplePos="0" relativeHeight="503303960" behindDoc="1" locked="0" layoutInCell="1" allowOverlap="1" wp14:anchorId="7FA11E8E" wp14:editId="7A83A9BB">
                <wp:simplePos x="0" y="0"/>
                <wp:positionH relativeFrom="page">
                  <wp:posOffset>3357245</wp:posOffset>
                </wp:positionH>
                <wp:positionV relativeFrom="paragraph">
                  <wp:posOffset>460375</wp:posOffset>
                </wp:positionV>
                <wp:extent cx="0" cy="153670"/>
                <wp:effectExtent l="42545" t="41275" r="43180" b="4318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line">
                          <a:avLst/>
                        </a:prstGeom>
                        <a:noFill/>
                        <a:ln w="74676">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A7397" id="Line 2" o:spid="_x0000_s1026" style="position:absolute;z-index:-12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4.35pt,36.25pt" to="264.3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" strokecolor="yellow" strokeweight="5.88pt">
                <w10:wrap anchorx="page"/>
              </v:line>
            </w:pict>
          </mc:Fallback>
        </mc:AlternateContent>
      </w:r>
      <w:r>
        <w:rPr>
          <w:sz w:val="21"/>
        </w:rPr>
        <w:t>If you wish to designate information supplied as part of your tender response or otherwise in connection with this tender exercise as confidential, using any template and/or further guidance provided at Part [2] (Submission Checklist) of Annex [3] (Supplier Response), you must provide clear and specific detail as</w:t>
      </w:r>
      <w:r>
        <w:rPr>
          <w:spacing w:val="-1"/>
          <w:sz w:val="21"/>
        </w:rPr>
        <w:t xml:space="preserve"> </w:t>
      </w:r>
      <w:r>
        <w:rPr>
          <w:sz w:val="21"/>
        </w:rPr>
        <w:t>to:</w:t>
      </w:r>
    </w:p>
    <w:p w14:paraId="10576996" w14:textId="77777777" w:rsidR="0070592C" w:rsidRDefault="00281EBC">
      <w:pPr>
        <w:pStyle w:val="ListParagraph"/>
        <w:numPr>
          <w:ilvl w:val="2"/>
          <w:numId w:val="3"/>
        </w:numPr>
        <w:tabs>
          <w:tab w:val="left" w:pos="833"/>
          <w:tab w:val="left" w:pos="835"/>
        </w:tabs>
        <w:spacing w:before="1"/>
        <w:jc w:val="left"/>
        <w:rPr>
          <w:sz w:val="21"/>
        </w:rPr>
      </w:pPr>
      <w:r>
        <w:rPr>
          <w:sz w:val="21"/>
        </w:rPr>
        <w:t>the precise elements which are considered confidential and/or commercially</w:t>
      </w:r>
      <w:r>
        <w:rPr>
          <w:spacing w:val="-14"/>
          <w:sz w:val="21"/>
        </w:rPr>
        <w:t xml:space="preserve"> </w:t>
      </w:r>
      <w:r>
        <w:rPr>
          <w:sz w:val="21"/>
        </w:rPr>
        <w:t>sensitive;</w:t>
      </w:r>
    </w:p>
    <w:p w14:paraId="047A65A1" w14:textId="77777777" w:rsidR="0070592C" w:rsidRDefault="00281EBC">
      <w:pPr>
        <w:pStyle w:val="ListParagraph"/>
        <w:numPr>
          <w:ilvl w:val="2"/>
          <w:numId w:val="3"/>
        </w:numPr>
        <w:tabs>
          <w:tab w:val="left" w:pos="833"/>
          <w:tab w:val="left" w:pos="835"/>
        </w:tabs>
        <w:spacing w:before="120"/>
        <w:jc w:val="left"/>
        <w:rPr>
          <w:sz w:val="21"/>
        </w:rPr>
      </w:pPr>
      <w:r>
        <w:rPr>
          <w:sz w:val="21"/>
        </w:rPr>
        <w:t>why you consider an exemption under the FOIA or EIR would apply;</w:t>
      </w:r>
      <w:r>
        <w:rPr>
          <w:spacing w:val="-20"/>
          <w:sz w:val="21"/>
        </w:rPr>
        <w:t xml:space="preserve"> </w:t>
      </w:r>
      <w:r>
        <w:rPr>
          <w:sz w:val="21"/>
        </w:rPr>
        <w:t>and</w:t>
      </w:r>
    </w:p>
    <w:p w14:paraId="66998590" w14:textId="77777777" w:rsidR="0070592C" w:rsidRDefault="00281EBC">
      <w:pPr>
        <w:pStyle w:val="ListParagraph"/>
        <w:numPr>
          <w:ilvl w:val="2"/>
          <w:numId w:val="3"/>
        </w:numPr>
        <w:tabs>
          <w:tab w:val="left" w:pos="833"/>
          <w:tab w:val="left" w:pos="835"/>
        </w:tabs>
        <w:spacing w:before="119"/>
        <w:jc w:val="left"/>
        <w:rPr>
          <w:sz w:val="21"/>
        </w:rPr>
      </w:pPr>
      <w:r>
        <w:rPr>
          <w:sz w:val="21"/>
        </w:rPr>
        <w:t>the estimated length of time during which the exemption will</w:t>
      </w:r>
      <w:r>
        <w:rPr>
          <w:spacing w:val="-14"/>
          <w:sz w:val="21"/>
        </w:rPr>
        <w:t xml:space="preserve"> </w:t>
      </w:r>
      <w:r>
        <w:rPr>
          <w:sz w:val="21"/>
        </w:rPr>
        <w:t>apply.</w:t>
      </w:r>
    </w:p>
    <w:p w14:paraId="2AA5C85F" w14:textId="77777777" w:rsidR="0070592C" w:rsidRDefault="0070592C">
      <w:pPr>
        <w:pStyle w:val="BodyText"/>
        <w:rPr>
          <w:sz w:val="31"/>
        </w:rPr>
      </w:pPr>
    </w:p>
    <w:p w14:paraId="35049CEF" w14:textId="77777777" w:rsidR="0070592C" w:rsidRDefault="00281EBC">
      <w:pPr>
        <w:pStyle w:val="ListParagraph"/>
        <w:numPr>
          <w:ilvl w:val="1"/>
          <w:numId w:val="3"/>
        </w:numPr>
        <w:tabs>
          <w:tab w:val="left" w:pos="835"/>
        </w:tabs>
        <w:spacing w:before="1" w:line="360" w:lineRule="auto"/>
        <w:ind w:right="108" w:firstLine="0"/>
        <w:jc w:val="both"/>
        <w:rPr>
          <w:sz w:val="21"/>
        </w:rPr>
      </w:pPr>
      <w:r>
        <w:rPr>
          <w:sz w:val="21"/>
        </w:rPr>
        <w:t>The use of blanket protective markings of whole documents such as “commercial in confidence” will not be sufficient. By participating in this Procurement Process you agree that the British Council should not and will not be bound by any such</w:t>
      </w:r>
      <w:r>
        <w:rPr>
          <w:spacing w:val="-17"/>
          <w:sz w:val="21"/>
        </w:rPr>
        <w:t xml:space="preserve"> </w:t>
      </w:r>
      <w:r>
        <w:rPr>
          <w:sz w:val="21"/>
        </w:rPr>
        <w:t>markings.</w:t>
      </w:r>
    </w:p>
    <w:p w14:paraId="0D054E0D" w14:textId="77777777" w:rsidR="0070592C" w:rsidRDefault="0070592C">
      <w:pPr>
        <w:pStyle w:val="BodyText"/>
        <w:spacing w:before="10"/>
        <w:rPr>
          <w:sz w:val="20"/>
        </w:rPr>
      </w:pPr>
    </w:p>
    <w:p w14:paraId="1F8FF84E" w14:textId="77777777" w:rsidR="0070592C" w:rsidRDefault="00281EBC">
      <w:pPr>
        <w:pStyle w:val="ListParagraph"/>
        <w:numPr>
          <w:ilvl w:val="1"/>
          <w:numId w:val="3"/>
        </w:numPr>
        <w:tabs>
          <w:tab w:val="left" w:pos="835"/>
        </w:tabs>
        <w:spacing w:line="360" w:lineRule="auto"/>
        <w:ind w:right="106" w:firstLine="0"/>
        <w:jc w:val="both"/>
        <w:rPr>
          <w:sz w:val="21"/>
        </w:rPr>
      </w:pPr>
      <w:r>
        <w:rPr>
          <w:sz w:val="21"/>
        </w:rPr>
        <w:t>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w:t>
      </w:r>
      <w:r>
        <w:rPr>
          <w:spacing w:val="-1"/>
          <w:sz w:val="21"/>
        </w:rPr>
        <w:t xml:space="preserve"> </w:t>
      </w:r>
      <w:r>
        <w:rPr>
          <w:sz w:val="21"/>
        </w:rPr>
        <w:t>RFP.</w:t>
      </w:r>
    </w:p>
    <w:p w14:paraId="713588EC" w14:textId="77777777" w:rsidR="0070592C" w:rsidRDefault="0070592C">
      <w:pPr>
        <w:pStyle w:val="BodyText"/>
        <w:spacing w:before="1"/>
      </w:pPr>
    </w:p>
    <w:p w14:paraId="2DD2B59B" w14:textId="77777777" w:rsidR="0070592C" w:rsidRDefault="00281EBC">
      <w:pPr>
        <w:pStyle w:val="ListParagraph"/>
        <w:numPr>
          <w:ilvl w:val="1"/>
          <w:numId w:val="3"/>
        </w:numPr>
        <w:tabs>
          <w:tab w:val="left" w:pos="835"/>
        </w:tabs>
        <w:spacing w:line="360" w:lineRule="auto"/>
        <w:ind w:right="109" w:firstLine="0"/>
        <w:jc w:val="both"/>
        <w:rPr>
          <w:sz w:val="21"/>
        </w:rPr>
      </w:pPr>
      <w:r>
        <w:rPr>
          <w:sz w:val="21"/>
        </w:rPr>
        <w:t>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w:t>
      </w:r>
      <w:r>
        <w:rPr>
          <w:spacing w:val="12"/>
          <w:sz w:val="21"/>
        </w:rPr>
        <w:t xml:space="preserve"> </w:t>
      </w:r>
      <w:r>
        <w:rPr>
          <w:sz w:val="21"/>
        </w:rPr>
        <w:t>data</w:t>
      </w:r>
      <w:r>
        <w:rPr>
          <w:spacing w:val="11"/>
          <w:sz w:val="21"/>
        </w:rPr>
        <w:t xml:space="preserve"> </w:t>
      </w:r>
      <w:r>
        <w:rPr>
          <w:sz w:val="21"/>
        </w:rPr>
        <w:t>for</w:t>
      </w:r>
      <w:r>
        <w:rPr>
          <w:spacing w:val="10"/>
          <w:sz w:val="21"/>
        </w:rPr>
        <w:t xml:space="preserve"> </w:t>
      </w:r>
      <w:r>
        <w:rPr>
          <w:sz w:val="21"/>
        </w:rPr>
        <w:t>any</w:t>
      </w:r>
      <w:r>
        <w:rPr>
          <w:spacing w:val="11"/>
          <w:sz w:val="21"/>
        </w:rPr>
        <w:t xml:space="preserve"> </w:t>
      </w:r>
      <w:r>
        <w:rPr>
          <w:sz w:val="21"/>
        </w:rPr>
        <w:t>other</w:t>
      </w:r>
      <w:r>
        <w:rPr>
          <w:spacing w:val="10"/>
          <w:sz w:val="21"/>
        </w:rPr>
        <w:t xml:space="preserve"> </w:t>
      </w:r>
      <w:r>
        <w:rPr>
          <w:sz w:val="21"/>
        </w:rPr>
        <w:t>purpose.</w:t>
      </w:r>
      <w:r>
        <w:rPr>
          <w:spacing w:val="11"/>
          <w:sz w:val="21"/>
        </w:rPr>
        <w:t xml:space="preserve"> </w:t>
      </w:r>
      <w:r>
        <w:rPr>
          <w:sz w:val="21"/>
        </w:rPr>
        <w:t>The</w:t>
      </w:r>
      <w:r>
        <w:rPr>
          <w:spacing w:val="11"/>
          <w:sz w:val="21"/>
        </w:rPr>
        <w:t xml:space="preserve"> </w:t>
      </w:r>
      <w:r>
        <w:rPr>
          <w:sz w:val="21"/>
        </w:rPr>
        <w:t>contracted</w:t>
      </w:r>
      <w:r>
        <w:rPr>
          <w:spacing w:val="11"/>
          <w:sz w:val="21"/>
        </w:rPr>
        <w:t xml:space="preserve"> </w:t>
      </w:r>
      <w:r>
        <w:rPr>
          <w:sz w:val="21"/>
        </w:rPr>
        <w:t>supplier</w:t>
      </w:r>
      <w:r>
        <w:rPr>
          <w:spacing w:val="10"/>
          <w:sz w:val="21"/>
        </w:rPr>
        <w:t xml:space="preserve"> </w:t>
      </w:r>
      <w:r>
        <w:rPr>
          <w:sz w:val="21"/>
        </w:rPr>
        <w:t>will</w:t>
      </w:r>
      <w:r>
        <w:rPr>
          <w:spacing w:val="11"/>
          <w:sz w:val="21"/>
        </w:rPr>
        <w:t xml:space="preserve"> </w:t>
      </w:r>
      <w:r>
        <w:rPr>
          <w:sz w:val="21"/>
        </w:rPr>
        <w:t>undertake</w:t>
      </w:r>
      <w:r>
        <w:rPr>
          <w:spacing w:val="12"/>
          <w:sz w:val="21"/>
        </w:rPr>
        <w:t xml:space="preserve"> </w:t>
      </w:r>
      <w:r>
        <w:rPr>
          <w:sz w:val="21"/>
        </w:rPr>
        <w:t>to</w:t>
      </w:r>
      <w:r>
        <w:rPr>
          <w:spacing w:val="11"/>
          <w:sz w:val="21"/>
        </w:rPr>
        <w:t xml:space="preserve"> </w:t>
      </w:r>
      <w:r>
        <w:rPr>
          <w:sz w:val="21"/>
        </w:rPr>
        <w:t>process</w:t>
      </w:r>
      <w:r>
        <w:rPr>
          <w:spacing w:val="10"/>
          <w:sz w:val="21"/>
        </w:rPr>
        <w:t xml:space="preserve"> </w:t>
      </w:r>
      <w:r>
        <w:rPr>
          <w:sz w:val="21"/>
        </w:rPr>
        <w:t>any</w:t>
      </w:r>
      <w:r>
        <w:rPr>
          <w:spacing w:val="11"/>
          <w:sz w:val="21"/>
        </w:rPr>
        <w:t xml:space="preserve"> </w:t>
      </w:r>
      <w:r>
        <w:rPr>
          <w:sz w:val="21"/>
        </w:rPr>
        <w:t>personal</w:t>
      </w:r>
      <w:r>
        <w:rPr>
          <w:spacing w:val="11"/>
          <w:sz w:val="21"/>
        </w:rPr>
        <w:t xml:space="preserve"> </w:t>
      </w:r>
      <w:r>
        <w:rPr>
          <w:sz w:val="21"/>
        </w:rPr>
        <w:t>data</w:t>
      </w:r>
    </w:p>
    <w:p w14:paraId="078DB622" w14:textId="77777777" w:rsidR="0070592C" w:rsidRDefault="0070592C">
      <w:pPr>
        <w:spacing w:line="360" w:lineRule="auto"/>
        <w:jc w:val="both"/>
        <w:rPr>
          <w:sz w:val="21"/>
        </w:rPr>
        <w:sectPr w:rsidR="0070592C">
          <w:pgSz w:w="11910" w:h="16840"/>
          <w:pgMar w:top="1260" w:right="880" w:bottom="980" w:left="880" w:header="0" w:footer="800" w:gutter="0"/>
          <w:cols w:space="720"/>
        </w:sectPr>
      </w:pPr>
    </w:p>
    <w:p w14:paraId="6290DA04" w14:textId="77777777" w:rsidR="0070592C" w:rsidRDefault="00281EBC">
      <w:pPr>
        <w:pStyle w:val="BodyText"/>
        <w:spacing w:before="65" w:line="360" w:lineRule="auto"/>
        <w:ind w:left="113" w:right="30"/>
      </w:pPr>
      <w:r>
        <w:lastRenderedPageBreak/>
        <w:t>on the British Council’s behalf in accordance with the relevant provisions of any relevant data protection laws and to ensure all consents required under such laws are obtained.</w:t>
      </w:r>
    </w:p>
    <w:p w14:paraId="6A08B6F9" w14:textId="77777777" w:rsidR="0070592C" w:rsidRDefault="0070592C">
      <w:pPr>
        <w:pStyle w:val="BodyText"/>
        <w:rPr>
          <w:sz w:val="24"/>
        </w:rPr>
      </w:pPr>
    </w:p>
    <w:p w14:paraId="6B606165" w14:textId="77777777" w:rsidR="0070592C" w:rsidRDefault="0070592C">
      <w:pPr>
        <w:pStyle w:val="BodyText"/>
        <w:rPr>
          <w:sz w:val="24"/>
        </w:rPr>
      </w:pPr>
    </w:p>
    <w:p w14:paraId="6B8551F4" w14:textId="77777777" w:rsidR="0070592C" w:rsidRDefault="0070592C">
      <w:pPr>
        <w:pStyle w:val="BodyText"/>
        <w:spacing w:before="11"/>
        <w:rPr>
          <w:sz w:val="23"/>
        </w:rPr>
      </w:pPr>
    </w:p>
    <w:p w14:paraId="74A5FDFD" w14:textId="77777777" w:rsidR="0070592C" w:rsidRDefault="00281EBC">
      <w:pPr>
        <w:pStyle w:val="Heading1"/>
        <w:numPr>
          <w:ilvl w:val="0"/>
          <w:numId w:val="3"/>
        </w:numPr>
        <w:tabs>
          <w:tab w:val="left" w:pos="833"/>
          <w:tab w:val="left" w:pos="835"/>
        </w:tabs>
        <w:ind w:left="834"/>
        <w:jc w:val="left"/>
      </w:pPr>
      <w:r>
        <w:t>Tender</w:t>
      </w:r>
      <w:r>
        <w:rPr>
          <w:spacing w:val="-1"/>
        </w:rPr>
        <w:t xml:space="preserve"> </w:t>
      </w:r>
      <w:r>
        <w:t>Validity</w:t>
      </w:r>
    </w:p>
    <w:p w14:paraId="1F0DD8F6" w14:textId="77777777" w:rsidR="0070592C" w:rsidRDefault="0070592C">
      <w:pPr>
        <w:pStyle w:val="BodyText"/>
        <w:spacing w:before="8"/>
        <w:rPr>
          <w:b/>
          <w:sz w:val="32"/>
        </w:rPr>
      </w:pPr>
    </w:p>
    <w:p w14:paraId="71490731" w14:textId="77777777" w:rsidR="0070592C" w:rsidRDefault="00281EBC">
      <w:pPr>
        <w:pStyle w:val="ListParagraph"/>
        <w:numPr>
          <w:ilvl w:val="1"/>
          <w:numId w:val="3"/>
        </w:numPr>
        <w:tabs>
          <w:tab w:val="left" w:pos="835"/>
        </w:tabs>
        <w:spacing w:line="360" w:lineRule="auto"/>
        <w:ind w:right="109" w:firstLine="0"/>
        <w:jc w:val="both"/>
        <w:rPr>
          <w:sz w:val="21"/>
        </w:rPr>
      </w:pPr>
      <w:r>
        <w:rPr>
          <w:sz w:val="21"/>
        </w:rPr>
        <w:t xml:space="preserve">Your tender response must remain open for acceptance by the British Council for a period of </w:t>
      </w:r>
      <w:r>
        <w:rPr>
          <w:spacing w:val="-3"/>
          <w:sz w:val="21"/>
        </w:rPr>
        <w:t xml:space="preserve">60 </w:t>
      </w:r>
      <w:r>
        <w:rPr>
          <w:sz w:val="21"/>
        </w:rPr>
        <w:t>days from the Response Deadline. A tender response not valid for this period may be rejected by the British</w:t>
      </w:r>
      <w:r>
        <w:rPr>
          <w:spacing w:val="-2"/>
          <w:sz w:val="21"/>
        </w:rPr>
        <w:t xml:space="preserve"> </w:t>
      </w:r>
      <w:r>
        <w:rPr>
          <w:sz w:val="21"/>
        </w:rPr>
        <w:t>Council.</w:t>
      </w:r>
    </w:p>
    <w:p w14:paraId="19A5DAFD" w14:textId="77777777" w:rsidR="0070592C" w:rsidRDefault="0070592C">
      <w:pPr>
        <w:pStyle w:val="BodyText"/>
        <w:rPr>
          <w:sz w:val="24"/>
        </w:rPr>
      </w:pPr>
    </w:p>
    <w:p w14:paraId="0ACEDCE0" w14:textId="77777777" w:rsidR="0070592C" w:rsidRDefault="0070592C">
      <w:pPr>
        <w:pStyle w:val="BodyText"/>
        <w:rPr>
          <w:sz w:val="24"/>
        </w:rPr>
      </w:pPr>
    </w:p>
    <w:p w14:paraId="3CFC435C" w14:textId="77777777" w:rsidR="0070592C" w:rsidRDefault="0070592C">
      <w:pPr>
        <w:pStyle w:val="BodyText"/>
        <w:spacing w:before="11"/>
        <w:rPr>
          <w:sz w:val="23"/>
        </w:rPr>
      </w:pPr>
    </w:p>
    <w:p w14:paraId="34B0ECED" w14:textId="77777777" w:rsidR="0070592C" w:rsidRDefault="00281EBC">
      <w:pPr>
        <w:pStyle w:val="Heading1"/>
        <w:numPr>
          <w:ilvl w:val="0"/>
          <w:numId w:val="3"/>
        </w:numPr>
        <w:tabs>
          <w:tab w:val="left" w:pos="833"/>
          <w:tab w:val="left" w:pos="835"/>
        </w:tabs>
        <w:ind w:left="834"/>
        <w:jc w:val="left"/>
      </w:pPr>
      <w:r>
        <w:t>Payment and</w:t>
      </w:r>
      <w:r>
        <w:rPr>
          <w:spacing w:val="-1"/>
        </w:rPr>
        <w:t xml:space="preserve"> </w:t>
      </w:r>
      <w:r>
        <w:t>Invoicing</w:t>
      </w:r>
    </w:p>
    <w:p w14:paraId="027E0509" w14:textId="77777777" w:rsidR="0070592C" w:rsidRDefault="0070592C">
      <w:pPr>
        <w:pStyle w:val="BodyText"/>
        <w:spacing w:before="8"/>
        <w:rPr>
          <w:b/>
          <w:sz w:val="32"/>
        </w:rPr>
      </w:pPr>
    </w:p>
    <w:p w14:paraId="3793E1F1" w14:textId="77777777" w:rsidR="0070592C" w:rsidRDefault="00281EBC">
      <w:pPr>
        <w:pStyle w:val="ListParagraph"/>
        <w:numPr>
          <w:ilvl w:val="1"/>
          <w:numId w:val="3"/>
        </w:numPr>
        <w:tabs>
          <w:tab w:val="left" w:pos="835"/>
        </w:tabs>
        <w:spacing w:line="360" w:lineRule="auto"/>
        <w:ind w:right="106" w:firstLine="0"/>
        <w:jc w:val="both"/>
        <w:rPr>
          <w:sz w:val="21"/>
        </w:rPr>
      </w:pPr>
      <w:r>
        <w:rPr>
          <w:sz w:val="21"/>
        </w:rPr>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w:t>
      </w:r>
      <w:r>
        <w:rPr>
          <w:spacing w:val="-19"/>
          <w:sz w:val="21"/>
        </w:rPr>
        <w:t xml:space="preserve"> </w:t>
      </w:r>
      <w:r>
        <w:rPr>
          <w:sz w:val="21"/>
        </w:rPr>
        <w:t>include:</w:t>
      </w:r>
    </w:p>
    <w:p w14:paraId="3F4FB2D2" w14:textId="77777777" w:rsidR="0070592C" w:rsidRDefault="00281EBC">
      <w:pPr>
        <w:pStyle w:val="ListParagraph"/>
        <w:numPr>
          <w:ilvl w:val="2"/>
          <w:numId w:val="3"/>
        </w:numPr>
        <w:tabs>
          <w:tab w:val="left" w:pos="833"/>
          <w:tab w:val="left" w:pos="835"/>
        </w:tabs>
        <w:spacing w:before="1"/>
        <w:jc w:val="left"/>
        <w:rPr>
          <w:sz w:val="21"/>
        </w:rPr>
      </w:pPr>
      <w:r>
        <w:rPr>
          <w:sz w:val="21"/>
        </w:rPr>
        <w:t>A description of the good/services supplied is</w:t>
      </w:r>
      <w:r>
        <w:rPr>
          <w:spacing w:val="-12"/>
          <w:sz w:val="21"/>
        </w:rPr>
        <w:t xml:space="preserve"> </w:t>
      </w:r>
      <w:r>
        <w:rPr>
          <w:sz w:val="21"/>
        </w:rPr>
        <w:t>included.</w:t>
      </w:r>
    </w:p>
    <w:p w14:paraId="6F8BEBB7" w14:textId="77777777" w:rsidR="0070592C" w:rsidRDefault="00281EBC">
      <w:pPr>
        <w:pStyle w:val="ListParagraph"/>
        <w:numPr>
          <w:ilvl w:val="2"/>
          <w:numId w:val="3"/>
        </w:numPr>
        <w:tabs>
          <w:tab w:val="left" w:pos="833"/>
          <w:tab w:val="left" w:pos="835"/>
        </w:tabs>
        <w:spacing w:before="120"/>
        <w:jc w:val="left"/>
        <w:rPr>
          <w:sz w:val="21"/>
        </w:rPr>
      </w:pPr>
      <w:r>
        <w:rPr>
          <w:sz w:val="21"/>
        </w:rPr>
        <w:t>The British Council Purchase Order number is</w:t>
      </w:r>
      <w:r>
        <w:rPr>
          <w:spacing w:val="-13"/>
          <w:sz w:val="21"/>
        </w:rPr>
        <w:t xml:space="preserve"> </w:t>
      </w:r>
      <w:r>
        <w:rPr>
          <w:sz w:val="21"/>
        </w:rPr>
        <w:t>included.</w:t>
      </w:r>
    </w:p>
    <w:p w14:paraId="65DECBFB" w14:textId="77777777" w:rsidR="0070592C" w:rsidRDefault="00281EBC">
      <w:pPr>
        <w:pStyle w:val="ListParagraph"/>
        <w:numPr>
          <w:ilvl w:val="2"/>
          <w:numId w:val="3"/>
        </w:numPr>
        <w:tabs>
          <w:tab w:val="left" w:pos="833"/>
          <w:tab w:val="left" w:pos="835"/>
        </w:tabs>
        <w:spacing w:before="120" w:line="348" w:lineRule="auto"/>
        <w:ind w:right="106"/>
        <w:jc w:val="left"/>
        <w:rPr>
          <w:sz w:val="21"/>
        </w:rPr>
      </w:pPr>
      <w:r>
        <w:rPr>
          <w:sz w:val="21"/>
        </w:rPr>
        <w:t>It is sent electronically via email in PDF format to</w:t>
      </w:r>
      <w:r>
        <w:rPr>
          <w:color w:val="0000FF"/>
          <w:sz w:val="21"/>
        </w:rPr>
        <w:t xml:space="preserve"> </w:t>
      </w:r>
      <w:hyperlink r:id="rId18">
        <w:r>
          <w:rPr>
            <w:color w:val="0000FF"/>
            <w:sz w:val="21"/>
            <w:u w:val="single" w:color="0000FF"/>
          </w:rPr>
          <w:t>jamilya.gulyamova@britishcouncil.org</w:t>
        </w:r>
      </w:hyperlink>
      <w:r>
        <w:rPr>
          <w:color w:val="0000FF"/>
          <w:sz w:val="21"/>
        </w:rPr>
        <w:t xml:space="preserve"> </w:t>
      </w:r>
      <w:r>
        <w:rPr>
          <w:sz w:val="21"/>
        </w:rPr>
        <w:t>or</w:t>
      </w:r>
      <w:hyperlink r:id="rId19">
        <w:r>
          <w:rPr>
            <w:color w:val="0000FF"/>
            <w:sz w:val="21"/>
            <w:u w:val="single" w:color="0000FF"/>
          </w:rPr>
          <w:t xml:space="preserve"> jamilya.gulyamova@britishcouncil.uz</w:t>
        </w:r>
      </w:hyperlink>
      <w:r>
        <w:rPr>
          <w:color w:val="0000FF"/>
          <w:sz w:val="21"/>
        </w:rPr>
        <w:t xml:space="preserve"> </w:t>
      </w:r>
      <w:r>
        <w:rPr>
          <w:sz w:val="21"/>
        </w:rPr>
        <w:t>or by post</w:t>
      </w:r>
      <w:r>
        <w:rPr>
          <w:spacing w:val="-8"/>
          <w:sz w:val="21"/>
        </w:rPr>
        <w:t xml:space="preserve"> </w:t>
      </w:r>
      <w:r>
        <w:rPr>
          <w:sz w:val="21"/>
        </w:rPr>
        <w:t>to:</w:t>
      </w:r>
    </w:p>
    <w:p w14:paraId="2F4449CE" w14:textId="77777777" w:rsidR="0070592C" w:rsidRDefault="00281EBC">
      <w:pPr>
        <w:pStyle w:val="BodyText"/>
        <w:spacing w:before="13" w:line="360" w:lineRule="auto"/>
        <w:ind w:left="834" w:right="30"/>
      </w:pPr>
      <w:r>
        <w:t>The British Council, 2nd floor, Block A, International Business Centre, 107B, Amir Temur Street, Tashkent, 100084, Uzbekistan</w:t>
      </w:r>
    </w:p>
    <w:p w14:paraId="69D033B5" w14:textId="77777777" w:rsidR="0070592C" w:rsidRDefault="0070592C">
      <w:pPr>
        <w:pStyle w:val="BodyText"/>
        <w:rPr>
          <w:sz w:val="24"/>
        </w:rPr>
      </w:pPr>
    </w:p>
    <w:p w14:paraId="735C98B8" w14:textId="77777777" w:rsidR="0070592C" w:rsidRDefault="0070592C">
      <w:pPr>
        <w:pStyle w:val="BodyText"/>
        <w:rPr>
          <w:sz w:val="24"/>
        </w:rPr>
      </w:pPr>
    </w:p>
    <w:p w14:paraId="425BAF3F" w14:textId="77777777" w:rsidR="0070592C" w:rsidRDefault="0070592C">
      <w:pPr>
        <w:pStyle w:val="BodyText"/>
        <w:rPr>
          <w:sz w:val="33"/>
        </w:rPr>
      </w:pPr>
    </w:p>
    <w:p w14:paraId="525EED03" w14:textId="77777777" w:rsidR="0070592C" w:rsidRDefault="00281EBC">
      <w:pPr>
        <w:pStyle w:val="Heading1"/>
        <w:numPr>
          <w:ilvl w:val="0"/>
          <w:numId w:val="3"/>
        </w:numPr>
        <w:tabs>
          <w:tab w:val="left" w:pos="833"/>
          <w:tab w:val="left" w:pos="835"/>
        </w:tabs>
        <w:spacing w:before="1"/>
        <w:ind w:left="834"/>
        <w:jc w:val="left"/>
      </w:pPr>
      <w:r>
        <w:t>Specification</w:t>
      </w:r>
    </w:p>
    <w:p w14:paraId="1EB75FDD" w14:textId="77777777" w:rsidR="0070592C" w:rsidRDefault="0070592C">
      <w:pPr>
        <w:pStyle w:val="BodyText"/>
        <w:spacing w:before="8"/>
        <w:rPr>
          <w:b/>
          <w:sz w:val="32"/>
        </w:rPr>
      </w:pPr>
    </w:p>
    <w:p w14:paraId="7BE5579B" w14:textId="77777777" w:rsidR="0070592C" w:rsidRDefault="00281EBC">
      <w:pPr>
        <w:pStyle w:val="ListParagraph"/>
        <w:numPr>
          <w:ilvl w:val="1"/>
          <w:numId w:val="3"/>
        </w:numPr>
        <w:tabs>
          <w:tab w:val="left" w:pos="833"/>
          <w:tab w:val="left" w:pos="835"/>
        </w:tabs>
        <w:ind w:left="834"/>
        <w:rPr>
          <w:sz w:val="21"/>
        </w:rPr>
      </w:pPr>
      <w:r>
        <w:rPr>
          <w:sz w:val="21"/>
        </w:rPr>
        <w:t>Consultancy terms of</w:t>
      </w:r>
      <w:r>
        <w:rPr>
          <w:spacing w:val="-5"/>
          <w:sz w:val="21"/>
        </w:rPr>
        <w:t xml:space="preserve"> </w:t>
      </w:r>
      <w:r>
        <w:rPr>
          <w:sz w:val="21"/>
        </w:rPr>
        <w:t>reference</w:t>
      </w:r>
    </w:p>
    <w:p w14:paraId="285EC999" w14:textId="77777777" w:rsidR="0070592C" w:rsidRDefault="0070592C">
      <w:pPr>
        <w:pStyle w:val="BodyText"/>
        <w:spacing w:before="5"/>
        <w:rPr>
          <w:sz w:val="31"/>
        </w:rPr>
      </w:pPr>
    </w:p>
    <w:p w14:paraId="5768C8D3" w14:textId="77777777" w:rsidR="0070592C" w:rsidRDefault="00281EBC">
      <w:pPr>
        <w:pStyle w:val="BodyText"/>
        <w:spacing w:line="360" w:lineRule="auto"/>
        <w:ind w:left="113" w:right="106"/>
        <w:jc w:val="both"/>
      </w:pPr>
      <w:r>
        <w:t>The aim of the consultancy is to conduct the external impact evaluation of the English as Medium of Instruction project across/in line with the British Council Results and Evaluation Framework with the focus on the impact of the capacity development programme run within the project for 16 partner institutions in Uzbekistan and the products designed as part of the project and make strategic recommendations for stakeholders to continue development on the work that has been done.</w:t>
      </w:r>
    </w:p>
    <w:p w14:paraId="69ED231D" w14:textId="77777777" w:rsidR="0070592C" w:rsidRDefault="0070592C">
      <w:pPr>
        <w:pStyle w:val="BodyText"/>
      </w:pPr>
    </w:p>
    <w:p w14:paraId="4968EEEB" w14:textId="77777777" w:rsidR="0070592C" w:rsidRDefault="00281EBC">
      <w:pPr>
        <w:pStyle w:val="BodyText"/>
        <w:ind w:left="113"/>
      </w:pPr>
      <w:r>
        <w:t>The evaluation will require:</w:t>
      </w:r>
    </w:p>
    <w:p w14:paraId="59A28FFA" w14:textId="77777777" w:rsidR="0070592C" w:rsidRDefault="0070592C">
      <w:pPr>
        <w:pStyle w:val="BodyText"/>
        <w:spacing w:before="4"/>
        <w:rPr>
          <w:sz w:val="31"/>
        </w:rPr>
      </w:pPr>
    </w:p>
    <w:p w14:paraId="4C7A4528" w14:textId="77777777" w:rsidR="0070592C" w:rsidRDefault="00281EBC">
      <w:pPr>
        <w:pStyle w:val="ListParagraph"/>
        <w:numPr>
          <w:ilvl w:val="0"/>
          <w:numId w:val="2"/>
        </w:numPr>
        <w:tabs>
          <w:tab w:val="left" w:pos="833"/>
          <w:tab w:val="left" w:pos="835"/>
        </w:tabs>
        <w:spacing w:line="357" w:lineRule="auto"/>
        <w:ind w:right="108"/>
        <w:jc w:val="left"/>
        <w:rPr>
          <w:sz w:val="21"/>
        </w:rPr>
      </w:pPr>
      <w:r>
        <w:rPr>
          <w:sz w:val="21"/>
        </w:rPr>
        <w:t>Desk research (including baseline/context study, the review of project documents and other project materials)</w:t>
      </w:r>
    </w:p>
    <w:p w14:paraId="09BBF97C" w14:textId="77777777" w:rsidR="0070592C" w:rsidRDefault="0070592C">
      <w:pPr>
        <w:spacing w:line="357" w:lineRule="auto"/>
        <w:rPr>
          <w:sz w:val="21"/>
        </w:rPr>
        <w:sectPr w:rsidR="0070592C">
          <w:pgSz w:w="11910" w:h="16840"/>
          <w:pgMar w:top="1260" w:right="880" w:bottom="980" w:left="880" w:header="0" w:footer="800" w:gutter="0"/>
          <w:cols w:space="720"/>
        </w:sectPr>
      </w:pPr>
    </w:p>
    <w:p w14:paraId="0B5EB762" w14:textId="77777777" w:rsidR="0070592C" w:rsidRDefault="00281EBC">
      <w:pPr>
        <w:pStyle w:val="ListParagraph"/>
        <w:numPr>
          <w:ilvl w:val="0"/>
          <w:numId w:val="2"/>
        </w:numPr>
        <w:tabs>
          <w:tab w:val="left" w:pos="833"/>
          <w:tab w:val="left" w:pos="835"/>
        </w:tabs>
        <w:spacing w:before="65" w:line="360" w:lineRule="auto"/>
        <w:ind w:right="106"/>
        <w:jc w:val="left"/>
        <w:rPr>
          <w:sz w:val="21"/>
        </w:rPr>
      </w:pPr>
      <w:r>
        <w:rPr>
          <w:sz w:val="21"/>
        </w:rPr>
        <w:lastRenderedPageBreak/>
        <w:t>Running interviews with the rectors of the Uzbek project partners, teachers, students, UK project partners and the British Council project</w:t>
      </w:r>
      <w:r>
        <w:rPr>
          <w:spacing w:val="-11"/>
          <w:sz w:val="21"/>
        </w:rPr>
        <w:t xml:space="preserve"> </w:t>
      </w:r>
      <w:r>
        <w:rPr>
          <w:sz w:val="21"/>
        </w:rPr>
        <w:t>team);</w:t>
      </w:r>
    </w:p>
    <w:p w14:paraId="4BADD9F5" w14:textId="77777777" w:rsidR="0070592C" w:rsidRDefault="0070592C">
      <w:pPr>
        <w:pStyle w:val="BodyText"/>
        <w:spacing w:before="11"/>
        <w:rPr>
          <w:sz w:val="20"/>
        </w:rPr>
      </w:pPr>
    </w:p>
    <w:p w14:paraId="678F5E0C" w14:textId="77777777" w:rsidR="0070592C" w:rsidRDefault="00281EBC">
      <w:pPr>
        <w:pStyle w:val="ListParagraph"/>
        <w:numPr>
          <w:ilvl w:val="0"/>
          <w:numId w:val="2"/>
        </w:numPr>
        <w:tabs>
          <w:tab w:val="left" w:pos="833"/>
          <w:tab w:val="left" w:pos="835"/>
        </w:tabs>
        <w:spacing w:line="360" w:lineRule="auto"/>
        <w:ind w:right="110"/>
        <w:jc w:val="left"/>
        <w:rPr>
          <w:sz w:val="21"/>
        </w:rPr>
      </w:pPr>
      <w:r>
        <w:rPr>
          <w:sz w:val="21"/>
        </w:rPr>
        <w:t>3 webinars with the project teams (including ESP and EMI teachers) to reveal the impact of the capacity development programme run within the</w:t>
      </w:r>
      <w:r>
        <w:rPr>
          <w:spacing w:val="-11"/>
          <w:sz w:val="21"/>
        </w:rPr>
        <w:t xml:space="preserve"> </w:t>
      </w:r>
      <w:r>
        <w:rPr>
          <w:sz w:val="21"/>
        </w:rPr>
        <w:t>project;</w:t>
      </w:r>
    </w:p>
    <w:p w14:paraId="0217EE98" w14:textId="77777777" w:rsidR="0070592C" w:rsidRDefault="0070592C">
      <w:pPr>
        <w:pStyle w:val="BodyText"/>
        <w:spacing w:before="10"/>
        <w:rPr>
          <w:sz w:val="20"/>
        </w:rPr>
      </w:pPr>
    </w:p>
    <w:p w14:paraId="6B28F6D6" w14:textId="77777777" w:rsidR="0070592C" w:rsidRDefault="00281EBC">
      <w:pPr>
        <w:pStyle w:val="ListParagraph"/>
        <w:numPr>
          <w:ilvl w:val="0"/>
          <w:numId w:val="2"/>
        </w:numPr>
        <w:tabs>
          <w:tab w:val="left" w:pos="833"/>
          <w:tab w:val="left" w:pos="835"/>
        </w:tabs>
        <w:jc w:val="left"/>
        <w:rPr>
          <w:sz w:val="21"/>
        </w:rPr>
      </w:pPr>
      <w:r>
        <w:rPr>
          <w:sz w:val="21"/>
        </w:rPr>
        <w:t>Report</w:t>
      </w:r>
      <w:r>
        <w:rPr>
          <w:spacing w:val="-3"/>
          <w:sz w:val="21"/>
        </w:rPr>
        <w:t xml:space="preserve"> </w:t>
      </w:r>
      <w:r>
        <w:rPr>
          <w:sz w:val="21"/>
        </w:rPr>
        <w:t>writing</w:t>
      </w:r>
    </w:p>
    <w:p w14:paraId="1D9263BC" w14:textId="77777777" w:rsidR="0070592C" w:rsidRDefault="0070592C">
      <w:pPr>
        <w:pStyle w:val="BodyText"/>
        <w:spacing w:before="5"/>
        <w:rPr>
          <w:sz w:val="31"/>
        </w:rPr>
      </w:pPr>
    </w:p>
    <w:p w14:paraId="1408F4BF" w14:textId="77777777" w:rsidR="0070592C" w:rsidRDefault="00281EBC">
      <w:pPr>
        <w:pStyle w:val="ListParagraph"/>
        <w:numPr>
          <w:ilvl w:val="0"/>
          <w:numId w:val="2"/>
        </w:numPr>
        <w:tabs>
          <w:tab w:val="left" w:pos="835"/>
        </w:tabs>
        <w:spacing w:line="360" w:lineRule="auto"/>
        <w:ind w:right="106"/>
        <w:rPr>
          <w:sz w:val="21"/>
        </w:rPr>
      </w:pPr>
      <w:r>
        <w:rPr>
          <w:sz w:val="21"/>
        </w:rPr>
        <w:t>Communication of the study findings (this can include webinar for the Ministry, universities, or participation in the dissemination event(s) organised both within the British Council and with the Ministry and contribute to the global publication if there is any</w:t>
      </w:r>
      <w:r>
        <w:rPr>
          <w:spacing w:val="-12"/>
          <w:sz w:val="21"/>
        </w:rPr>
        <w:t xml:space="preserve"> </w:t>
      </w:r>
      <w:r>
        <w:rPr>
          <w:sz w:val="21"/>
        </w:rPr>
        <w:t>planned)</w:t>
      </w:r>
    </w:p>
    <w:p w14:paraId="36A207DF" w14:textId="77777777" w:rsidR="0070592C" w:rsidRDefault="0070592C">
      <w:pPr>
        <w:pStyle w:val="BodyText"/>
        <w:spacing w:before="11"/>
        <w:rPr>
          <w:sz w:val="20"/>
        </w:rPr>
      </w:pPr>
    </w:p>
    <w:p w14:paraId="0114D09B" w14:textId="77777777" w:rsidR="0070592C" w:rsidRDefault="00281EBC">
      <w:pPr>
        <w:pStyle w:val="ListParagraph"/>
        <w:numPr>
          <w:ilvl w:val="1"/>
          <w:numId w:val="3"/>
        </w:numPr>
        <w:tabs>
          <w:tab w:val="left" w:pos="833"/>
          <w:tab w:val="left" w:pos="835"/>
        </w:tabs>
        <w:ind w:left="834"/>
        <w:rPr>
          <w:sz w:val="21"/>
        </w:rPr>
      </w:pPr>
      <w:r>
        <w:rPr>
          <w:sz w:val="21"/>
        </w:rPr>
        <w:t>Consultancy</w:t>
      </w:r>
      <w:r>
        <w:rPr>
          <w:spacing w:val="-2"/>
          <w:sz w:val="21"/>
        </w:rPr>
        <w:t xml:space="preserve"> </w:t>
      </w:r>
      <w:r>
        <w:rPr>
          <w:sz w:val="21"/>
        </w:rPr>
        <w:t>outputs</w:t>
      </w:r>
    </w:p>
    <w:p w14:paraId="16936E94" w14:textId="77777777" w:rsidR="0070592C" w:rsidRDefault="0070592C">
      <w:pPr>
        <w:pStyle w:val="BodyText"/>
        <w:spacing w:before="2"/>
        <w:rPr>
          <w:sz w:val="31"/>
        </w:rPr>
      </w:pPr>
    </w:p>
    <w:p w14:paraId="3105D3F2" w14:textId="77777777" w:rsidR="0070592C" w:rsidRDefault="00281EBC">
      <w:pPr>
        <w:pStyle w:val="BodyText"/>
        <w:spacing w:line="360" w:lineRule="auto"/>
        <w:ind w:left="113" w:right="30"/>
      </w:pPr>
      <w:r>
        <w:t>A written report on the consultancy with findings and recommendations including short-term and long-term priorities and action.</w:t>
      </w:r>
    </w:p>
    <w:p w14:paraId="47A0C863" w14:textId="77777777" w:rsidR="0070592C" w:rsidRDefault="0070592C">
      <w:pPr>
        <w:pStyle w:val="BodyText"/>
        <w:spacing w:before="10"/>
        <w:rPr>
          <w:sz w:val="20"/>
        </w:rPr>
      </w:pPr>
    </w:p>
    <w:p w14:paraId="7E345B82" w14:textId="77777777" w:rsidR="0070592C" w:rsidRDefault="00281EBC">
      <w:pPr>
        <w:pStyle w:val="ListParagraph"/>
        <w:numPr>
          <w:ilvl w:val="1"/>
          <w:numId w:val="3"/>
        </w:numPr>
        <w:tabs>
          <w:tab w:val="left" w:pos="833"/>
          <w:tab w:val="left" w:pos="835"/>
        </w:tabs>
        <w:ind w:left="834"/>
        <w:rPr>
          <w:sz w:val="21"/>
        </w:rPr>
      </w:pPr>
      <w:r>
        <w:rPr>
          <w:sz w:val="21"/>
        </w:rPr>
        <w:t>Consultancy</w:t>
      </w:r>
      <w:r>
        <w:rPr>
          <w:spacing w:val="-1"/>
          <w:sz w:val="21"/>
        </w:rPr>
        <w:t xml:space="preserve"> </w:t>
      </w:r>
      <w:r>
        <w:rPr>
          <w:sz w:val="21"/>
        </w:rPr>
        <w:t>timeframe</w:t>
      </w:r>
    </w:p>
    <w:p w14:paraId="39A79525" w14:textId="77777777" w:rsidR="0070592C" w:rsidRDefault="0070592C">
      <w:pPr>
        <w:pStyle w:val="BodyText"/>
        <w:spacing w:before="5"/>
        <w:rPr>
          <w:sz w:val="31"/>
        </w:rPr>
      </w:pPr>
    </w:p>
    <w:p w14:paraId="6D117D49" w14:textId="77777777" w:rsidR="0070592C" w:rsidRDefault="00281EBC">
      <w:pPr>
        <w:pStyle w:val="ListParagraph"/>
        <w:numPr>
          <w:ilvl w:val="0"/>
          <w:numId w:val="1"/>
        </w:numPr>
        <w:tabs>
          <w:tab w:val="left" w:pos="833"/>
          <w:tab w:val="left" w:pos="835"/>
        </w:tabs>
        <w:jc w:val="left"/>
        <w:rPr>
          <w:sz w:val="21"/>
        </w:rPr>
      </w:pPr>
      <w:r>
        <w:rPr>
          <w:sz w:val="21"/>
        </w:rPr>
        <w:t>Project documents review (October-November</w:t>
      </w:r>
      <w:r>
        <w:rPr>
          <w:spacing w:val="-7"/>
          <w:sz w:val="21"/>
        </w:rPr>
        <w:t xml:space="preserve"> </w:t>
      </w:r>
      <w:r>
        <w:rPr>
          <w:sz w:val="21"/>
        </w:rPr>
        <w:t>2021)</w:t>
      </w:r>
    </w:p>
    <w:p w14:paraId="53005959" w14:textId="77777777" w:rsidR="0070592C" w:rsidRDefault="0070592C">
      <w:pPr>
        <w:pStyle w:val="BodyText"/>
        <w:spacing w:before="4"/>
        <w:rPr>
          <w:sz w:val="31"/>
        </w:rPr>
      </w:pPr>
    </w:p>
    <w:p w14:paraId="4F7080AD" w14:textId="77777777" w:rsidR="0070592C" w:rsidRDefault="00281EBC">
      <w:pPr>
        <w:pStyle w:val="ListParagraph"/>
        <w:numPr>
          <w:ilvl w:val="0"/>
          <w:numId w:val="1"/>
        </w:numPr>
        <w:tabs>
          <w:tab w:val="left" w:pos="833"/>
          <w:tab w:val="left" w:pos="835"/>
        </w:tabs>
        <w:spacing w:before="1" w:line="360" w:lineRule="auto"/>
        <w:ind w:right="107"/>
        <w:jc w:val="left"/>
        <w:rPr>
          <w:sz w:val="21"/>
        </w:rPr>
      </w:pPr>
      <w:r>
        <w:rPr>
          <w:sz w:val="21"/>
        </w:rPr>
        <w:t>Interview, focus group discussions, workshops with project stakeholders (November-December 2021)</w:t>
      </w:r>
    </w:p>
    <w:p w14:paraId="2A05426B" w14:textId="77777777" w:rsidR="0070592C" w:rsidRDefault="0070592C">
      <w:pPr>
        <w:pStyle w:val="BodyText"/>
        <w:spacing w:before="10"/>
        <w:rPr>
          <w:sz w:val="20"/>
        </w:rPr>
      </w:pPr>
    </w:p>
    <w:p w14:paraId="26D1C6FC" w14:textId="77777777" w:rsidR="0070592C" w:rsidRDefault="00281EBC">
      <w:pPr>
        <w:pStyle w:val="ListParagraph"/>
        <w:numPr>
          <w:ilvl w:val="0"/>
          <w:numId w:val="1"/>
        </w:numPr>
        <w:tabs>
          <w:tab w:val="left" w:pos="833"/>
          <w:tab w:val="left" w:pos="835"/>
        </w:tabs>
        <w:jc w:val="left"/>
        <w:rPr>
          <w:sz w:val="21"/>
        </w:rPr>
      </w:pPr>
      <w:r>
        <w:rPr>
          <w:sz w:val="21"/>
        </w:rPr>
        <w:t>Report writing (December</w:t>
      </w:r>
      <w:r>
        <w:rPr>
          <w:spacing w:val="-8"/>
          <w:sz w:val="21"/>
        </w:rPr>
        <w:t xml:space="preserve"> </w:t>
      </w:r>
      <w:r>
        <w:rPr>
          <w:sz w:val="21"/>
        </w:rPr>
        <w:t>2021)</w:t>
      </w:r>
    </w:p>
    <w:p w14:paraId="58CB694B" w14:textId="77777777" w:rsidR="0070592C" w:rsidRDefault="0070592C">
      <w:pPr>
        <w:pStyle w:val="BodyText"/>
        <w:spacing w:before="4"/>
        <w:rPr>
          <w:sz w:val="31"/>
        </w:rPr>
      </w:pPr>
    </w:p>
    <w:p w14:paraId="0E93417C" w14:textId="77777777" w:rsidR="0070592C" w:rsidRDefault="00281EBC">
      <w:pPr>
        <w:pStyle w:val="BodyText"/>
        <w:ind w:left="113"/>
      </w:pPr>
      <w:r>
        <w:t>Due to Covid-19 situation all the TOR items are to be delivered online.</w:t>
      </w:r>
    </w:p>
    <w:p w14:paraId="4243E05A" w14:textId="77777777" w:rsidR="0070592C" w:rsidRDefault="0070592C">
      <w:pPr>
        <w:pStyle w:val="BodyText"/>
        <w:spacing w:before="5"/>
        <w:rPr>
          <w:sz w:val="31"/>
        </w:rPr>
      </w:pPr>
    </w:p>
    <w:p w14:paraId="4102C046" w14:textId="77777777" w:rsidR="0070592C" w:rsidRDefault="00281EBC">
      <w:pPr>
        <w:pStyle w:val="ListParagraph"/>
        <w:numPr>
          <w:ilvl w:val="1"/>
          <w:numId w:val="3"/>
        </w:numPr>
        <w:tabs>
          <w:tab w:val="left" w:pos="833"/>
          <w:tab w:val="left" w:pos="835"/>
        </w:tabs>
        <w:ind w:left="834"/>
        <w:rPr>
          <w:sz w:val="21"/>
        </w:rPr>
      </w:pPr>
      <w:r>
        <w:rPr>
          <w:sz w:val="21"/>
        </w:rPr>
        <w:t>Expected</w:t>
      </w:r>
      <w:r>
        <w:rPr>
          <w:spacing w:val="-2"/>
          <w:sz w:val="21"/>
        </w:rPr>
        <w:t xml:space="preserve"> </w:t>
      </w:r>
      <w:r>
        <w:rPr>
          <w:sz w:val="21"/>
        </w:rPr>
        <w:t>expertise</w:t>
      </w:r>
    </w:p>
    <w:p w14:paraId="219726A2" w14:textId="77777777" w:rsidR="0070592C" w:rsidRDefault="0070592C">
      <w:pPr>
        <w:pStyle w:val="BodyText"/>
        <w:spacing w:before="4"/>
        <w:rPr>
          <w:sz w:val="31"/>
        </w:rPr>
      </w:pPr>
    </w:p>
    <w:p w14:paraId="3EB1C93A" w14:textId="77777777" w:rsidR="0070592C" w:rsidRDefault="00281EBC">
      <w:pPr>
        <w:pStyle w:val="BodyText"/>
        <w:spacing w:line="360" w:lineRule="auto"/>
        <w:ind w:left="113" w:right="30"/>
      </w:pPr>
      <w:r>
        <w:t>This is the opportunities for UK individual consultants and universities specialised and experienced in running project impact evaluation in education sector.</w:t>
      </w:r>
    </w:p>
    <w:p w14:paraId="45818EA3" w14:textId="77777777" w:rsidR="0070592C" w:rsidRDefault="0070592C">
      <w:pPr>
        <w:pStyle w:val="BodyText"/>
      </w:pPr>
    </w:p>
    <w:p w14:paraId="1649D185" w14:textId="77777777" w:rsidR="0070592C" w:rsidRDefault="00281EBC">
      <w:pPr>
        <w:pStyle w:val="BodyText"/>
        <w:spacing w:line="360" w:lineRule="auto"/>
        <w:ind w:left="113" w:right="30"/>
      </w:pPr>
      <w:r>
        <w:t>The British Council is committed to safeguarding and promoting the welfare of children and young people and expects all of its partners to share this commitment.</w:t>
      </w:r>
    </w:p>
    <w:p w14:paraId="28F787AD" w14:textId="77777777" w:rsidR="0070592C" w:rsidRDefault="0070592C">
      <w:pPr>
        <w:pStyle w:val="BodyText"/>
        <w:spacing w:before="8"/>
        <w:rPr>
          <w:sz w:val="20"/>
        </w:rPr>
      </w:pPr>
    </w:p>
    <w:p w14:paraId="3B1CBFB4" w14:textId="77777777" w:rsidR="0070592C" w:rsidRDefault="00281EBC">
      <w:pPr>
        <w:pStyle w:val="BodyText"/>
        <w:spacing w:line="360" w:lineRule="auto"/>
        <w:ind w:left="113" w:right="106"/>
        <w:jc w:val="both"/>
      </w:pPr>
      <w:r>
        <w:t>The British Council is committed to a policy of equal opportunity and is keen to reflect the diversity of society at every level within the organisation. We welcome applications from all sections of the community. We guarantee an interview to disabled candidates who meet the essential criteria.</w:t>
      </w:r>
    </w:p>
    <w:p w14:paraId="58F33DA5" w14:textId="77777777" w:rsidR="0070592C" w:rsidRDefault="0070592C">
      <w:pPr>
        <w:pStyle w:val="BodyText"/>
        <w:spacing w:before="11"/>
        <w:rPr>
          <w:sz w:val="20"/>
        </w:rPr>
      </w:pPr>
    </w:p>
    <w:p w14:paraId="0690DA4E" w14:textId="77777777" w:rsidR="0070592C" w:rsidRDefault="00281EBC">
      <w:pPr>
        <w:pStyle w:val="BodyText"/>
        <w:ind w:left="113"/>
      </w:pPr>
      <w:r>
        <w:t>We do not expect bids to exceed £9K inclusive.</w:t>
      </w:r>
    </w:p>
    <w:p w14:paraId="7E13A35F" w14:textId="77777777" w:rsidR="0070592C" w:rsidRDefault="0070592C">
      <w:pPr>
        <w:pStyle w:val="BodyText"/>
        <w:spacing w:before="5"/>
        <w:rPr>
          <w:sz w:val="31"/>
        </w:rPr>
      </w:pPr>
    </w:p>
    <w:p w14:paraId="526F66D3" w14:textId="77777777" w:rsidR="0070592C" w:rsidRDefault="00281EBC">
      <w:pPr>
        <w:pStyle w:val="Heading1"/>
        <w:numPr>
          <w:ilvl w:val="0"/>
          <w:numId w:val="3"/>
        </w:numPr>
        <w:tabs>
          <w:tab w:val="left" w:pos="833"/>
          <w:tab w:val="left" w:pos="835"/>
        </w:tabs>
        <w:ind w:left="834"/>
        <w:jc w:val="left"/>
      </w:pPr>
      <w:r>
        <w:t>Mandatory Requirements / Constraints</w:t>
      </w:r>
    </w:p>
    <w:p w14:paraId="16C89B79" w14:textId="77777777" w:rsidR="0070592C" w:rsidRDefault="0070592C">
      <w:pPr>
        <w:sectPr w:rsidR="0070592C">
          <w:pgSz w:w="11910" w:h="16840"/>
          <w:pgMar w:top="1260" w:right="880" w:bottom="980" w:left="880" w:header="0" w:footer="800" w:gutter="0"/>
          <w:cols w:space="720"/>
        </w:sectPr>
      </w:pPr>
    </w:p>
    <w:p w14:paraId="29013D3C" w14:textId="77777777" w:rsidR="0070592C" w:rsidRDefault="00281EBC">
      <w:pPr>
        <w:pStyle w:val="ListParagraph"/>
        <w:numPr>
          <w:ilvl w:val="1"/>
          <w:numId w:val="3"/>
        </w:numPr>
        <w:tabs>
          <w:tab w:val="left" w:pos="835"/>
        </w:tabs>
        <w:spacing w:before="65" w:line="360" w:lineRule="auto"/>
        <w:ind w:right="110" w:firstLine="0"/>
        <w:jc w:val="both"/>
        <w:rPr>
          <w:sz w:val="21"/>
        </w:rPr>
      </w:pPr>
      <w:r>
        <w:rPr>
          <w:sz w:val="21"/>
        </w:rPr>
        <w:lastRenderedPageBreak/>
        <w:t>As part of your tender response, you must confirm that you meet the mandatory requirements / constraints, if any, as set out in the British Council’s specification forming part of this RFP. A failure to comply with one or more mandatory requirements or constraints shall entitle the British Council to reject a tender response in</w:t>
      </w:r>
      <w:r>
        <w:rPr>
          <w:spacing w:val="-5"/>
          <w:sz w:val="21"/>
        </w:rPr>
        <w:t xml:space="preserve"> </w:t>
      </w:r>
      <w:r>
        <w:rPr>
          <w:sz w:val="21"/>
        </w:rPr>
        <w:t>full.</w:t>
      </w:r>
    </w:p>
    <w:p w14:paraId="2F96FD31" w14:textId="77777777" w:rsidR="0070592C" w:rsidRDefault="0070592C">
      <w:pPr>
        <w:pStyle w:val="BodyText"/>
        <w:rPr>
          <w:sz w:val="24"/>
        </w:rPr>
      </w:pPr>
    </w:p>
    <w:p w14:paraId="4E7C04D6" w14:textId="77777777" w:rsidR="0070592C" w:rsidRDefault="0070592C">
      <w:pPr>
        <w:pStyle w:val="BodyText"/>
        <w:rPr>
          <w:sz w:val="24"/>
        </w:rPr>
      </w:pPr>
    </w:p>
    <w:p w14:paraId="06D25CE3" w14:textId="77777777" w:rsidR="0070592C" w:rsidRDefault="0070592C">
      <w:pPr>
        <w:pStyle w:val="BodyText"/>
        <w:spacing w:before="11"/>
        <w:rPr>
          <w:sz w:val="23"/>
        </w:rPr>
      </w:pPr>
    </w:p>
    <w:p w14:paraId="4F422D75" w14:textId="77777777" w:rsidR="0070592C" w:rsidRDefault="00281EBC">
      <w:pPr>
        <w:pStyle w:val="Heading1"/>
        <w:numPr>
          <w:ilvl w:val="0"/>
          <w:numId w:val="3"/>
        </w:numPr>
        <w:tabs>
          <w:tab w:val="left" w:pos="833"/>
          <w:tab w:val="left" w:pos="835"/>
        </w:tabs>
        <w:ind w:left="834"/>
        <w:jc w:val="left"/>
      </w:pPr>
      <w:r>
        <w:t>Qualification</w:t>
      </w:r>
      <w:r>
        <w:rPr>
          <w:spacing w:val="-1"/>
        </w:rPr>
        <w:t xml:space="preserve"> </w:t>
      </w:r>
      <w:r>
        <w:t>Requirements</w:t>
      </w:r>
    </w:p>
    <w:p w14:paraId="38D6B5CD" w14:textId="77777777" w:rsidR="0070592C" w:rsidRDefault="0070592C">
      <w:pPr>
        <w:pStyle w:val="BodyText"/>
        <w:spacing w:before="8"/>
        <w:rPr>
          <w:b/>
          <w:sz w:val="32"/>
        </w:rPr>
      </w:pPr>
    </w:p>
    <w:p w14:paraId="20093A37" w14:textId="77777777" w:rsidR="0070592C" w:rsidRDefault="00281EBC">
      <w:pPr>
        <w:pStyle w:val="ListParagraph"/>
        <w:numPr>
          <w:ilvl w:val="1"/>
          <w:numId w:val="3"/>
        </w:numPr>
        <w:tabs>
          <w:tab w:val="left" w:pos="835"/>
        </w:tabs>
        <w:spacing w:line="360" w:lineRule="auto"/>
        <w:ind w:right="113" w:firstLine="0"/>
        <w:jc w:val="both"/>
        <w:rPr>
          <w:sz w:val="21"/>
        </w:rPr>
      </w:pPr>
      <w:r>
        <w:rPr>
          <w:sz w:val="21"/>
        </w:rPr>
        <w:t>As part of your tender response, you must confirm compliance with any qualification requirements as set out at Annex [</w:t>
      </w:r>
      <w:r>
        <w:rPr>
          <w:sz w:val="21"/>
          <w:shd w:val="clear" w:color="auto" w:fill="FFFF00"/>
        </w:rPr>
        <w:t>2</w:t>
      </w:r>
      <w:r>
        <w:rPr>
          <w:sz w:val="21"/>
        </w:rPr>
        <w:t>] (Qualification Questionnaire). A failure to comply with one or more such qualification requirements shall entitle the British Council to reject a tender response in</w:t>
      </w:r>
      <w:r>
        <w:rPr>
          <w:spacing w:val="-21"/>
          <w:sz w:val="21"/>
        </w:rPr>
        <w:t xml:space="preserve"> </w:t>
      </w:r>
      <w:r>
        <w:rPr>
          <w:sz w:val="21"/>
        </w:rPr>
        <w:t>full.</w:t>
      </w:r>
    </w:p>
    <w:p w14:paraId="1D0B0110" w14:textId="77777777" w:rsidR="0070592C" w:rsidRDefault="0070592C">
      <w:pPr>
        <w:pStyle w:val="BodyText"/>
      </w:pPr>
    </w:p>
    <w:p w14:paraId="4A347550" w14:textId="77777777" w:rsidR="0070592C" w:rsidRDefault="00281EBC">
      <w:pPr>
        <w:pStyle w:val="Heading1"/>
        <w:numPr>
          <w:ilvl w:val="0"/>
          <w:numId w:val="3"/>
        </w:numPr>
        <w:tabs>
          <w:tab w:val="left" w:pos="833"/>
          <w:tab w:val="left" w:pos="835"/>
        </w:tabs>
        <w:spacing w:before="1"/>
        <w:ind w:left="834"/>
        <w:jc w:val="left"/>
      </w:pPr>
      <w:r>
        <w:t>Timescales</w:t>
      </w:r>
    </w:p>
    <w:p w14:paraId="5985683C" w14:textId="77777777" w:rsidR="0070592C" w:rsidRDefault="0070592C">
      <w:pPr>
        <w:pStyle w:val="BodyText"/>
        <w:spacing w:before="8"/>
        <w:rPr>
          <w:b/>
          <w:sz w:val="32"/>
        </w:rPr>
      </w:pPr>
    </w:p>
    <w:p w14:paraId="6DFCAE65" w14:textId="77777777" w:rsidR="0070592C" w:rsidRDefault="00281EBC">
      <w:pPr>
        <w:pStyle w:val="ListParagraph"/>
        <w:numPr>
          <w:ilvl w:val="1"/>
          <w:numId w:val="3"/>
        </w:numPr>
        <w:tabs>
          <w:tab w:val="left" w:pos="835"/>
        </w:tabs>
        <w:spacing w:line="360" w:lineRule="auto"/>
        <w:ind w:right="111" w:firstLine="0"/>
        <w:jc w:val="both"/>
        <w:rPr>
          <w:sz w:val="21"/>
        </w:rPr>
      </w:pPr>
      <w:r>
        <w:rPr>
          <w:sz w:val="21"/>
        </w:rPr>
        <w:t>Subject to any changes notified to potential suppliers by the British Council in accordance with the Tender Conditions, the following timescales shall apply to this Procurement</w:t>
      </w:r>
      <w:r>
        <w:rPr>
          <w:spacing w:val="-17"/>
          <w:sz w:val="21"/>
        </w:rPr>
        <w:t xml:space="preserve"> </w:t>
      </w:r>
      <w:r>
        <w:rPr>
          <w:sz w:val="21"/>
        </w:rPr>
        <w:t>Process:</w:t>
      </w:r>
    </w:p>
    <w:p w14:paraId="11BB486A" w14:textId="77777777" w:rsidR="0070592C" w:rsidRDefault="0070592C">
      <w:pPr>
        <w:pStyle w:val="BodyText"/>
        <w:rPr>
          <w:sz w:val="20"/>
        </w:rPr>
      </w:pPr>
    </w:p>
    <w:p w14:paraId="58D5B764" w14:textId="77777777" w:rsidR="0070592C" w:rsidRDefault="0070592C">
      <w:pPr>
        <w:pStyle w:val="BodyText"/>
        <w:spacing w:before="6"/>
        <w:rPr>
          <w:sz w:val="11"/>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7"/>
        <w:gridCol w:w="2900"/>
      </w:tblGrid>
      <w:tr w:rsidR="0070592C" w14:paraId="533F3FAD" w14:textId="77777777">
        <w:trPr>
          <w:trHeight w:val="362"/>
        </w:trPr>
        <w:tc>
          <w:tcPr>
            <w:tcW w:w="6347" w:type="dxa"/>
          </w:tcPr>
          <w:p w14:paraId="19E9499A" w14:textId="77777777" w:rsidR="0070592C" w:rsidRDefault="00281EBC">
            <w:pPr>
              <w:pStyle w:val="TableParagraph"/>
              <w:spacing w:line="241" w:lineRule="exact"/>
              <w:rPr>
                <w:b/>
                <w:sz w:val="21"/>
              </w:rPr>
            </w:pPr>
            <w:r>
              <w:rPr>
                <w:b/>
                <w:sz w:val="21"/>
              </w:rPr>
              <w:t>Activity</w:t>
            </w:r>
          </w:p>
        </w:tc>
        <w:tc>
          <w:tcPr>
            <w:tcW w:w="2900" w:type="dxa"/>
          </w:tcPr>
          <w:p w14:paraId="25B95D5B" w14:textId="77777777" w:rsidR="0070592C" w:rsidRDefault="00281EBC">
            <w:pPr>
              <w:pStyle w:val="TableParagraph"/>
              <w:spacing w:line="241" w:lineRule="exact"/>
              <w:ind w:left="104"/>
              <w:rPr>
                <w:b/>
                <w:sz w:val="21"/>
              </w:rPr>
            </w:pPr>
            <w:r>
              <w:rPr>
                <w:b/>
                <w:sz w:val="21"/>
              </w:rPr>
              <w:t>Date / time</w:t>
            </w:r>
          </w:p>
        </w:tc>
      </w:tr>
      <w:tr w:rsidR="0070592C" w14:paraId="37D94843" w14:textId="77777777">
        <w:trPr>
          <w:trHeight w:val="362"/>
        </w:trPr>
        <w:tc>
          <w:tcPr>
            <w:tcW w:w="6347" w:type="dxa"/>
          </w:tcPr>
          <w:p w14:paraId="3C7AC4F6" w14:textId="77777777" w:rsidR="0070592C" w:rsidRDefault="00281EBC">
            <w:pPr>
              <w:pStyle w:val="TableParagraph"/>
              <w:rPr>
                <w:sz w:val="21"/>
              </w:rPr>
            </w:pPr>
            <w:r>
              <w:rPr>
                <w:sz w:val="21"/>
              </w:rPr>
              <w:t>RFP Issued to bidding suppliers</w:t>
            </w:r>
          </w:p>
        </w:tc>
        <w:tc>
          <w:tcPr>
            <w:tcW w:w="2900" w:type="dxa"/>
          </w:tcPr>
          <w:p w14:paraId="4CE2E789" w14:textId="77777777" w:rsidR="0070592C" w:rsidRDefault="00281EBC">
            <w:pPr>
              <w:pStyle w:val="TableParagraph"/>
              <w:ind w:left="104"/>
              <w:rPr>
                <w:sz w:val="21"/>
              </w:rPr>
            </w:pPr>
            <w:r>
              <w:rPr>
                <w:sz w:val="21"/>
              </w:rPr>
              <w:t>15 July 2021</w:t>
            </w:r>
          </w:p>
        </w:tc>
      </w:tr>
      <w:tr w:rsidR="0070592C" w14:paraId="668F6EE2" w14:textId="77777777">
        <w:trPr>
          <w:trHeight w:val="362"/>
        </w:trPr>
        <w:tc>
          <w:tcPr>
            <w:tcW w:w="6347" w:type="dxa"/>
          </w:tcPr>
          <w:p w14:paraId="25B615D9" w14:textId="77777777" w:rsidR="0070592C" w:rsidRDefault="00281EBC">
            <w:pPr>
              <w:pStyle w:val="TableParagraph"/>
              <w:spacing w:line="241" w:lineRule="exact"/>
              <w:rPr>
                <w:sz w:val="21"/>
              </w:rPr>
            </w:pPr>
            <w:r>
              <w:rPr>
                <w:sz w:val="21"/>
              </w:rPr>
              <w:t>Deadline for clarification questions (</w:t>
            </w:r>
            <w:r>
              <w:rPr>
                <w:b/>
                <w:sz w:val="21"/>
              </w:rPr>
              <w:t>Clarification Deadline</w:t>
            </w:r>
            <w:r>
              <w:rPr>
                <w:sz w:val="21"/>
              </w:rPr>
              <w:t>)</w:t>
            </w:r>
          </w:p>
        </w:tc>
        <w:tc>
          <w:tcPr>
            <w:tcW w:w="2900" w:type="dxa"/>
          </w:tcPr>
          <w:p w14:paraId="5570E1B3" w14:textId="77777777" w:rsidR="0070592C" w:rsidRDefault="00281EBC">
            <w:pPr>
              <w:pStyle w:val="TableParagraph"/>
              <w:spacing w:line="241" w:lineRule="exact"/>
              <w:ind w:left="104"/>
              <w:rPr>
                <w:sz w:val="21"/>
              </w:rPr>
            </w:pPr>
            <w:r>
              <w:rPr>
                <w:sz w:val="21"/>
              </w:rPr>
              <w:t>10 August 2021</w:t>
            </w:r>
          </w:p>
        </w:tc>
      </w:tr>
      <w:tr w:rsidR="0070592C" w14:paraId="45DA6CBD" w14:textId="77777777">
        <w:trPr>
          <w:trHeight w:val="724"/>
        </w:trPr>
        <w:tc>
          <w:tcPr>
            <w:tcW w:w="6347" w:type="dxa"/>
          </w:tcPr>
          <w:p w14:paraId="279DD2A8" w14:textId="77777777" w:rsidR="0070592C" w:rsidRDefault="00281EBC">
            <w:pPr>
              <w:pStyle w:val="TableParagraph"/>
              <w:spacing w:before="2"/>
              <w:rPr>
                <w:sz w:val="21"/>
              </w:rPr>
            </w:pPr>
            <w:r>
              <w:rPr>
                <w:sz w:val="21"/>
              </w:rPr>
              <w:t>Deadline for submission of RFP responses by potential suppliers</w:t>
            </w:r>
          </w:p>
          <w:p w14:paraId="6CA748DA" w14:textId="77777777" w:rsidR="0070592C" w:rsidRDefault="00281EBC">
            <w:pPr>
              <w:pStyle w:val="TableParagraph"/>
              <w:spacing w:before="118"/>
              <w:rPr>
                <w:sz w:val="21"/>
              </w:rPr>
            </w:pPr>
            <w:r>
              <w:rPr>
                <w:sz w:val="21"/>
              </w:rPr>
              <w:t>(</w:t>
            </w:r>
            <w:r>
              <w:rPr>
                <w:b/>
                <w:sz w:val="21"/>
              </w:rPr>
              <w:t>Response Deadline</w:t>
            </w:r>
            <w:r>
              <w:rPr>
                <w:sz w:val="21"/>
              </w:rPr>
              <w:t>)</w:t>
            </w:r>
          </w:p>
        </w:tc>
        <w:tc>
          <w:tcPr>
            <w:tcW w:w="2900" w:type="dxa"/>
          </w:tcPr>
          <w:p w14:paraId="68A2BA85" w14:textId="77777777" w:rsidR="0070592C" w:rsidRDefault="00281EBC">
            <w:pPr>
              <w:pStyle w:val="TableParagraph"/>
              <w:spacing w:before="2"/>
              <w:ind w:left="104"/>
              <w:rPr>
                <w:sz w:val="21"/>
              </w:rPr>
            </w:pPr>
            <w:r>
              <w:rPr>
                <w:sz w:val="21"/>
              </w:rPr>
              <w:t>20 August 2021</w:t>
            </w:r>
          </w:p>
        </w:tc>
      </w:tr>
      <w:tr w:rsidR="0070592C" w14:paraId="2AC5F0AB" w14:textId="77777777">
        <w:trPr>
          <w:trHeight w:val="362"/>
        </w:trPr>
        <w:tc>
          <w:tcPr>
            <w:tcW w:w="6347" w:type="dxa"/>
          </w:tcPr>
          <w:p w14:paraId="678A6221" w14:textId="77777777" w:rsidR="0070592C" w:rsidRDefault="00281EBC">
            <w:pPr>
              <w:pStyle w:val="TableParagraph"/>
              <w:spacing w:before="2"/>
              <w:rPr>
                <w:sz w:val="21"/>
              </w:rPr>
            </w:pPr>
            <w:r>
              <w:rPr>
                <w:sz w:val="21"/>
              </w:rPr>
              <w:t>Final Decision</w:t>
            </w:r>
          </w:p>
        </w:tc>
        <w:tc>
          <w:tcPr>
            <w:tcW w:w="2900" w:type="dxa"/>
          </w:tcPr>
          <w:p w14:paraId="42E3732A" w14:textId="77777777" w:rsidR="0070592C" w:rsidRDefault="00281EBC">
            <w:pPr>
              <w:pStyle w:val="TableParagraph"/>
              <w:spacing w:before="2"/>
              <w:ind w:left="162"/>
              <w:rPr>
                <w:sz w:val="21"/>
              </w:rPr>
            </w:pPr>
            <w:r>
              <w:rPr>
                <w:sz w:val="21"/>
              </w:rPr>
              <w:t>August 2021</w:t>
            </w:r>
          </w:p>
        </w:tc>
      </w:tr>
      <w:tr w:rsidR="0070592C" w14:paraId="5A487C75" w14:textId="77777777">
        <w:trPr>
          <w:trHeight w:val="364"/>
        </w:trPr>
        <w:tc>
          <w:tcPr>
            <w:tcW w:w="6347" w:type="dxa"/>
          </w:tcPr>
          <w:p w14:paraId="06AEA4DE" w14:textId="77777777" w:rsidR="0070592C" w:rsidRDefault="00281EBC">
            <w:pPr>
              <w:pStyle w:val="TableParagraph"/>
              <w:spacing w:before="2"/>
              <w:rPr>
                <w:sz w:val="21"/>
              </w:rPr>
            </w:pPr>
            <w:r>
              <w:rPr>
                <w:sz w:val="21"/>
              </w:rPr>
              <w:t>Contract concluded with winning supplier</w:t>
            </w:r>
          </w:p>
        </w:tc>
        <w:tc>
          <w:tcPr>
            <w:tcW w:w="2900" w:type="dxa"/>
          </w:tcPr>
          <w:p w14:paraId="74F79CD5" w14:textId="77777777" w:rsidR="0070592C" w:rsidRDefault="00281EBC">
            <w:pPr>
              <w:pStyle w:val="TableParagraph"/>
              <w:spacing w:before="2"/>
              <w:ind w:left="104"/>
              <w:rPr>
                <w:sz w:val="21"/>
              </w:rPr>
            </w:pPr>
            <w:r>
              <w:rPr>
                <w:sz w:val="21"/>
              </w:rPr>
              <w:t>7 September 2021</w:t>
            </w:r>
          </w:p>
        </w:tc>
      </w:tr>
      <w:tr w:rsidR="0070592C" w14:paraId="00309A01" w14:textId="77777777">
        <w:trPr>
          <w:trHeight w:val="361"/>
        </w:trPr>
        <w:tc>
          <w:tcPr>
            <w:tcW w:w="6347" w:type="dxa"/>
          </w:tcPr>
          <w:p w14:paraId="29DB6FB1" w14:textId="77777777" w:rsidR="0070592C" w:rsidRDefault="00281EBC">
            <w:pPr>
              <w:pStyle w:val="TableParagraph"/>
              <w:spacing w:line="241" w:lineRule="exact"/>
              <w:rPr>
                <w:sz w:val="21"/>
              </w:rPr>
            </w:pPr>
            <w:r>
              <w:rPr>
                <w:sz w:val="21"/>
              </w:rPr>
              <w:t>Consultancy to start</w:t>
            </w:r>
          </w:p>
        </w:tc>
        <w:tc>
          <w:tcPr>
            <w:tcW w:w="2900" w:type="dxa"/>
          </w:tcPr>
          <w:p w14:paraId="6258B550" w14:textId="77777777" w:rsidR="0070592C" w:rsidRDefault="00281EBC">
            <w:pPr>
              <w:pStyle w:val="TableParagraph"/>
              <w:spacing w:line="241" w:lineRule="exact"/>
              <w:ind w:left="104"/>
              <w:rPr>
                <w:sz w:val="21"/>
              </w:rPr>
            </w:pPr>
            <w:r>
              <w:rPr>
                <w:sz w:val="21"/>
              </w:rPr>
              <w:t>15 October 2021</w:t>
            </w:r>
          </w:p>
        </w:tc>
      </w:tr>
      <w:tr w:rsidR="0070592C" w14:paraId="318A7F2D" w14:textId="77777777">
        <w:trPr>
          <w:trHeight w:val="362"/>
        </w:trPr>
        <w:tc>
          <w:tcPr>
            <w:tcW w:w="6347" w:type="dxa"/>
          </w:tcPr>
          <w:p w14:paraId="6390C6F8" w14:textId="77777777" w:rsidR="0070592C" w:rsidRDefault="00281EBC">
            <w:pPr>
              <w:pStyle w:val="TableParagraph"/>
              <w:spacing w:line="241" w:lineRule="exact"/>
              <w:rPr>
                <w:sz w:val="21"/>
              </w:rPr>
            </w:pPr>
            <w:r>
              <w:rPr>
                <w:sz w:val="21"/>
              </w:rPr>
              <w:t>Consultancy to be completed by</w:t>
            </w:r>
          </w:p>
        </w:tc>
        <w:tc>
          <w:tcPr>
            <w:tcW w:w="2900" w:type="dxa"/>
          </w:tcPr>
          <w:p w14:paraId="442DF12F" w14:textId="77777777" w:rsidR="0070592C" w:rsidRDefault="00281EBC">
            <w:pPr>
              <w:pStyle w:val="TableParagraph"/>
              <w:spacing w:line="241" w:lineRule="exact"/>
              <w:ind w:left="104"/>
              <w:rPr>
                <w:sz w:val="21"/>
              </w:rPr>
            </w:pPr>
            <w:r>
              <w:rPr>
                <w:sz w:val="21"/>
              </w:rPr>
              <w:t>31 January 2022</w:t>
            </w:r>
          </w:p>
        </w:tc>
      </w:tr>
    </w:tbl>
    <w:p w14:paraId="293DB8CA" w14:textId="77777777" w:rsidR="0070592C" w:rsidRDefault="0070592C">
      <w:pPr>
        <w:pStyle w:val="BodyText"/>
        <w:rPr>
          <w:sz w:val="20"/>
        </w:rPr>
      </w:pPr>
    </w:p>
    <w:p w14:paraId="3FE6F640" w14:textId="77777777" w:rsidR="0070592C" w:rsidRDefault="0070592C">
      <w:pPr>
        <w:pStyle w:val="BodyText"/>
        <w:rPr>
          <w:sz w:val="20"/>
        </w:rPr>
      </w:pPr>
    </w:p>
    <w:p w14:paraId="1A81B910" w14:textId="77777777" w:rsidR="0070592C" w:rsidRDefault="0070592C">
      <w:pPr>
        <w:pStyle w:val="BodyText"/>
        <w:spacing w:before="9"/>
        <w:rPr>
          <w:sz w:val="26"/>
        </w:rPr>
      </w:pPr>
    </w:p>
    <w:p w14:paraId="7DA55D0C" w14:textId="77777777" w:rsidR="0070592C" w:rsidRDefault="00281EBC">
      <w:pPr>
        <w:pStyle w:val="Heading1"/>
        <w:numPr>
          <w:ilvl w:val="0"/>
          <w:numId w:val="3"/>
        </w:numPr>
        <w:tabs>
          <w:tab w:val="left" w:pos="833"/>
          <w:tab w:val="left" w:pos="835"/>
        </w:tabs>
        <w:spacing w:before="92"/>
        <w:ind w:left="834"/>
        <w:jc w:val="left"/>
      </w:pPr>
      <w:r>
        <w:t>Instructions for</w:t>
      </w:r>
      <w:r>
        <w:rPr>
          <w:spacing w:val="-1"/>
        </w:rPr>
        <w:t xml:space="preserve"> </w:t>
      </w:r>
      <w:r>
        <w:t>Responding</w:t>
      </w:r>
    </w:p>
    <w:p w14:paraId="4BEF8514" w14:textId="77777777" w:rsidR="0070592C" w:rsidRDefault="0070592C">
      <w:pPr>
        <w:pStyle w:val="BodyText"/>
        <w:spacing w:before="8"/>
        <w:rPr>
          <w:b/>
          <w:sz w:val="24"/>
        </w:rPr>
      </w:pPr>
    </w:p>
    <w:p w14:paraId="3ED12383" w14:textId="77777777" w:rsidR="0070592C" w:rsidRDefault="00281EBC">
      <w:pPr>
        <w:pStyle w:val="ListParagraph"/>
        <w:numPr>
          <w:ilvl w:val="1"/>
          <w:numId w:val="3"/>
        </w:numPr>
        <w:tabs>
          <w:tab w:val="left" w:pos="657"/>
        </w:tabs>
        <w:spacing w:before="95" w:line="360" w:lineRule="auto"/>
        <w:ind w:right="108" w:firstLine="0"/>
        <w:jc w:val="both"/>
        <w:rPr>
          <w:sz w:val="21"/>
        </w:rPr>
      </w:pPr>
      <w:r>
        <w:rPr>
          <w:sz w:val="21"/>
        </w:rPr>
        <w:t>The documents that must be submitted to form your tender response are listed at Part [</w:t>
      </w:r>
      <w:r>
        <w:rPr>
          <w:sz w:val="21"/>
          <w:shd w:val="clear" w:color="auto" w:fill="FFFF00"/>
        </w:rPr>
        <w:t>2</w:t>
      </w:r>
      <w:r>
        <w:rPr>
          <w:sz w:val="21"/>
        </w:rPr>
        <w:t>] (Submission Checklist) of Annex [</w:t>
      </w:r>
      <w:r>
        <w:rPr>
          <w:sz w:val="21"/>
          <w:shd w:val="clear" w:color="auto" w:fill="FFFF00"/>
        </w:rPr>
        <w:t>3</w:t>
      </w:r>
      <w:r>
        <w:rPr>
          <w:sz w:val="21"/>
        </w:rPr>
        <w:t>] (Supplier Response) to this RFP. All documents required as part of your tender response should be submitted to</w:t>
      </w:r>
      <w:r>
        <w:rPr>
          <w:color w:val="0000FF"/>
          <w:sz w:val="21"/>
        </w:rPr>
        <w:t xml:space="preserve"> </w:t>
      </w:r>
      <w:hyperlink r:id="rId20">
        <w:r>
          <w:rPr>
            <w:color w:val="0000FF"/>
            <w:sz w:val="21"/>
            <w:u w:val="single" w:color="0000FF"/>
          </w:rPr>
          <w:t>jamilya.gulyamova@britishcouncil.org</w:t>
        </w:r>
      </w:hyperlink>
      <w:r>
        <w:rPr>
          <w:color w:val="0000FF"/>
          <w:sz w:val="21"/>
        </w:rPr>
        <w:t xml:space="preserve"> </w:t>
      </w:r>
      <w:r>
        <w:rPr>
          <w:sz w:val="21"/>
        </w:rPr>
        <w:t>or</w:t>
      </w:r>
      <w:hyperlink r:id="rId21">
        <w:r>
          <w:rPr>
            <w:color w:val="0000FF"/>
            <w:sz w:val="21"/>
            <w:u w:val="single" w:color="0000FF"/>
          </w:rPr>
          <w:t xml:space="preserve"> jamilya.gulyamova@britishcouncil.uz</w:t>
        </w:r>
      </w:hyperlink>
      <w:r>
        <w:rPr>
          <w:color w:val="0000FF"/>
          <w:sz w:val="21"/>
        </w:rPr>
        <w:t xml:space="preserve"> </w:t>
      </w:r>
      <w:r>
        <w:rPr>
          <w:sz w:val="21"/>
        </w:rPr>
        <w:t>by the Response Deadline, as set out in the Timescales section of this</w:t>
      </w:r>
      <w:r>
        <w:rPr>
          <w:spacing w:val="-1"/>
          <w:sz w:val="21"/>
        </w:rPr>
        <w:t xml:space="preserve"> </w:t>
      </w:r>
      <w:r>
        <w:rPr>
          <w:sz w:val="21"/>
        </w:rPr>
        <w:t>RFP.</w:t>
      </w:r>
    </w:p>
    <w:p w14:paraId="784C2ADC" w14:textId="77777777" w:rsidR="0070592C" w:rsidRDefault="0070592C">
      <w:pPr>
        <w:pStyle w:val="BodyText"/>
        <w:spacing w:before="8"/>
        <w:rPr>
          <w:sz w:val="20"/>
        </w:rPr>
      </w:pPr>
    </w:p>
    <w:p w14:paraId="1D1524B2" w14:textId="77777777" w:rsidR="0070592C" w:rsidRDefault="00281EBC">
      <w:pPr>
        <w:pStyle w:val="ListParagraph"/>
        <w:numPr>
          <w:ilvl w:val="1"/>
          <w:numId w:val="3"/>
        </w:numPr>
        <w:tabs>
          <w:tab w:val="left" w:pos="583"/>
        </w:tabs>
        <w:spacing w:before="1"/>
        <w:ind w:left="582" w:hanging="469"/>
        <w:rPr>
          <w:sz w:val="21"/>
        </w:rPr>
      </w:pPr>
      <w:r>
        <w:rPr>
          <w:sz w:val="21"/>
        </w:rPr>
        <w:t>The following requirements should be complied with when summiting your response to this</w:t>
      </w:r>
      <w:r>
        <w:rPr>
          <w:spacing w:val="-22"/>
          <w:sz w:val="21"/>
        </w:rPr>
        <w:t xml:space="preserve"> </w:t>
      </w:r>
      <w:r>
        <w:rPr>
          <w:sz w:val="21"/>
        </w:rPr>
        <w:t>RFP:</w:t>
      </w:r>
    </w:p>
    <w:p w14:paraId="4F2D945C" w14:textId="77777777" w:rsidR="0070592C" w:rsidRDefault="00281EBC">
      <w:pPr>
        <w:pStyle w:val="ListParagraph"/>
        <w:numPr>
          <w:ilvl w:val="2"/>
          <w:numId w:val="3"/>
        </w:numPr>
        <w:tabs>
          <w:tab w:val="left" w:pos="833"/>
          <w:tab w:val="left" w:pos="835"/>
        </w:tabs>
        <w:spacing w:before="121" w:line="350" w:lineRule="auto"/>
        <w:ind w:right="107"/>
        <w:jc w:val="left"/>
        <w:rPr>
          <w:sz w:val="21"/>
        </w:rPr>
      </w:pPr>
      <w:r>
        <w:rPr>
          <w:sz w:val="21"/>
        </w:rPr>
        <w:t>Please ensure that you send your submission in good time to prevent issues with technology – late tender responses may rejected by the British</w:t>
      </w:r>
      <w:r>
        <w:rPr>
          <w:spacing w:val="-14"/>
          <w:sz w:val="21"/>
        </w:rPr>
        <w:t xml:space="preserve"> </w:t>
      </w:r>
      <w:r>
        <w:rPr>
          <w:sz w:val="21"/>
        </w:rPr>
        <w:t>Council.</w:t>
      </w:r>
    </w:p>
    <w:p w14:paraId="22A16324" w14:textId="77777777" w:rsidR="0070592C" w:rsidRDefault="0070592C">
      <w:pPr>
        <w:spacing w:line="350" w:lineRule="auto"/>
        <w:rPr>
          <w:sz w:val="21"/>
        </w:rPr>
        <w:sectPr w:rsidR="0070592C">
          <w:pgSz w:w="11910" w:h="16840"/>
          <w:pgMar w:top="1260" w:right="880" w:bottom="980" w:left="880" w:header="0" w:footer="800" w:gutter="0"/>
          <w:cols w:space="720"/>
        </w:sectPr>
      </w:pPr>
    </w:p>
    <w:p w14:paraId="24652E20" w14:textId="77777777" w:rsidR="0070592C" w:rsidRDefault="00281EBC">
      <w:pPr>
        <w:pStyle w:val="ListParagraph"/>
        <w:numPr>
          <w:ilvl w:val="2"/>
          <w:numId w:val="3"/>
        </w:numPr>
        <w:tabs>
          <w:tab w:val="left" w:pos="835"/>
        </w:tabs>
        <w:spacing w:before="85" w:line="357" w:lineRule="auto"/>
        <w:ind w:right="106"/>
        <w:rPr>
          <w:sz w:val="21"/>
        </w:rPr>
      </w:pPr>
      <w:r>
        <w:rPr>
          <w:sz w:val="21"/>
        </w:rPr>
        <w:lastRenderedPageBreak/>
        <w:t>Do not submit any additional supporting documentation with your RFP response except where specifically requested to do so as part of this RFP. PDF, JPG, PPT, Word and Excel formats can be used for any additional supporting documentation (other formats should not be used without the prior written approval of the British</w:t>
      </w:r>
      <w:r>
        <w:rPr>
          <w:spacing w:val="-8"/>
          <w:sz w:val="21"/>
        </w:rPr>
        <w:t xml:space="preserve"> </w:t>
      </w:r>
      <w:r>
        <w:rPr>
          <w:sz w:val="21"/>
        </w:rPr>
        <w:t>Council).</w:t>
      </w:r>
    </w:p>
    <w:p w14:paraId="58A7577E" w14:textId="77777777" w:rsidR="0070592C" w:rsidRDefault="00281EBC">
      <w:pPr>
        <w:pStyle w:val="ListParagraph"/>
        <w:numPr>
          <w:ilvl w:val="2"/>
          <w:numId w:val="3"/>
        </w:numPr>
        <w:tabs>
          <w:tab w:val="left" w:pos="835"/>
        </w:tabs>
        <w:spacing w:before="2" w:line="350" w:lineRule="auto"/>
        <w:ind w:right="107"/>
        <w:rPr>
          <w:sz w:val="21"/>
        </w:rPr>
      </w:pPr>
      <w:r>
        <w:rPr>
          <w:sz w:val="21"/>
        </w:rPr>
        <w:t>All attachments/supporting documentation should be provided separately to your main tender response and clearly labelled to make it clear as to which part of your tender response it</w:t>
      </w:r>
      <w:r>
        <w:rPr>
          <w:spacing w:val="-26"/>
          <w:sz w:val="21"/>
        </w:rPr>
        <w:t xml:space="preserve"> </w:t>
      </w:r>
      <w:r>
        <w:rPr>
          <w:sz w:val="21"/>
        </w:rPr>
        <w:t>relates.</w:t>
      </w:r>
    </w:p>
    <w:p w14:paraId="26D45CC2" w14:textId="77777777" w:rsidR="0070592C" w:rsidRDefault="00281EBC">
      <w:pPr>
        <w:pStyle w:val="ListParagraph"/>
        <w:numPr>
          <w:ilvl w:val="2"/>
          <w:numId w:val="3"/>
        </w:numPr>
        <w:tabs>
          <w:tab w:val="left" w:pos="835"/>
        </w:tabs>
        <w:spacing w:before="9" w:line="350" w:lineRule="auto"/>
        <w:ind w:right="111"/>
        <w:rPr>
          <w:sz w:val="21"/>
        </w:rPr>
      </w:pPr>
      <w:r>
        <w:rPr>
          <w:sz w:val="21"/>
        </w:rPr>
        <w:t>If you submit a generic policy / document you must indicate the page and paragraph reference that is relevant to a particular part of your tender</w:t>
      </w:r>
      <w:r>
        <w:rPr>
          <w:spacing w:val="-16"/>
          <w:sz w:val="21"/>
        </w:rPr>
        <w:t xml:space="preserve"> </w:t>
      </w:r>
      <w:r>
        <w:rPr>
          <w:sz w:val="21"/>
        </w:rPr>
        <w:t>response.</w:t>
      </w:r>
    </w:p>
    <w:p w14:paraId="3BF74C1A" w14:textId="77777777" w:rsidR="0070592C" w:rsidRDefault="00281EBC">
      <w:pPr>
        <w:pStyle w:val="ListParagraph"/>
        <w:numPr>
          <w:ilvl w:val="2"/>
          <w:numId w:val="3"/>
        </w:numPr>
        <w:tabs>
          <w:tab w:val="left" w:pos="835"/>
        </w:tabs>
        <w:spacing w:before="11" w:line="355" w:lineRule="auto"/>
        <w:ind w:right="111"/>
        <w:rPr>
          <w:sz w:val="21"/>
        </w:rPr>
      </w:pPr>
      <w:r>
        <w:rPr>
          <w:sz w:val="21"/>
        </w:rPr>
        <w:t>Unless otherwise stated as part of this RFP or its Annexes, all tender responses should be in the format of the relevant British Council requirement with your response to that requirement inserted underneath.</w:t>
      </w:r>
    </w:p>
    <w:p w14:paraId="192F622E" w14:textId="77777777" w:rsidR="0070592C" w:rsidRDefault="00281EBC">
      <w:pPr>
        <w:pStyle w:val="ListParagraph"/>
        <w:numPr>
          <w:ilvl w:val="2"/>
          <w:numId w:val="3"/>
        </w:numPr>
        <w:tabs>
          <w:tab w:val="left" w:pos="835"/>
        </w:tabs>
        <w:spacing w:before="6" w:line="350" w:lineRule="auto"/>
        <w:ind w:right="107"/>
        <w:rPr>
          <w:sz w:val="21"/>
        </w:rPr>
      </w:pPr>
      <w:r>
        <w:rPr>
          <w:sz w:val="21"/>
        </w:rPr>
        <w:t>Where supporting evidence is requested as ‘or equivalent’ you must demonstrate such equivalence as part of your tender</w:t>
      </w:r>
      <w:r>
        <w:rPr>
          <w:spacing w:val="-11"/>
          <w:sz w:val="21"/>
        </w:rPr>
        <w:t xml:space="preserve"> </w:t>
      </w:r>
      <w:r>
        <w:rPr>
          <w:sz w:val="21"/>
        </w:rPr>
        <w:t>response.</w:t>
      </w:r>
    </w:p>
    <w:p w14:paraId="49D6454B" w14:textId="77777777" w:rsidR="0070592C" w:rsidRDefault="00281EBC">
      <w:pPr>
        <w:pStyle w:val="ListParagraph"/>
        <w:numPr>
          <w:ilvl w:val="2"/>
          <w:numId w:val="3"/>
        </w:numPr>
        <w:tabs>
          <w:tab w:val="left" w:pos="835"/>
        </w:tabs>
        <w:spacing w:before="11" w:line="355" w:lineRule="auto"/>
        <w:ind w:right="110"/>
        <w:rPr>
          <w:sz w:val="21"/>
        </w:rPr>
      </w:pPr>
      <w:r>
        <w:rPr>
          <w:sz w:val="21"/>
        </w:rPr>
        <w:t>Any deliberate alteration of a British Council requirement as part of your tender response will invalidate your tender response to that requirement and for evaluation purposes you shall be deemed not to have responded to that particular</w:t>
      </w:r>
      <w:r>
        <w:rPr>
          <w:spacing w:val="-11"/>
          <w:sz w:val="21"/>
        </w:rPr>
        <w:t xml:space="preserve"> </w:t>
      </w:r>
      <w:r>
        <w:rPr>
          <w:sz w:val="21"/>
        </w:rPr>
        <w:t>requirement.</w:t>
      </w:r>
    </w:p>
    <w:p w14:paraId="3C2D2C22" w14:textId="77777777" w:rsidR="0070592C" w:rsidRDefault="00281EBC">
      <w:pPr>
        <w:pStyle w:val="ListParagraph"/>
        <w:numPr>
          <w:ilvl w:val="2"/>
          <w:numId w:val="3"/>
        </w:numPr>
        <w:tabs>
          <w:tab w:val="left" w:pos="833"/>
          <w:tab w:val="left" w:pos="835"/>
        </w:tabs>
        <w:spacing w:before="4"/>
        <w:jc w:val="left"/>
        <w:rPr>
          <w:sz w:val="21"/>
        </w:rPr>
      </w:pPr>
      <w:r>
        <w:rPr>
          <w:sz w:val="21"/>
        </w:rPr>
        <w:t>Responses should concise, unambiguous, and should directly address the requirement</w:t>
      </w:r>
      <w:r>
        <w:rPr>
          <w:spacing w:val="-17"/>
          <w:sz w:val="21"/>
        </w:rPr>
        <w:t xml:space="preserve"> </w:t>
      </w:r>
      <w:r>
        <w:rPr>
          <w:sz w:val="21"/>
        </w:rPr>
        <w:t>stated.</w:t>
      </w:r>
    </w:p>
    <w:p w14:paraId="2C02DEAF" w14:textId="77777777" w:rsidR="0070592C" w:rsidRDefault="00281EBC">
      <w:pPr>
        <w:pStyle w:val="ListParagraph"/>
        <w:numPr>
          <w:ilvl w:val="2"/>
          <w:numId w:val="3"/>
        </w:numPr>
        <w:tabs>
          <w:tab w:val="left" w:pos="835"/>
        </w:tabs>
        <w:spacing w:before="120" w:line="352" w:lineRule="auto"/>
        <w:ind w:right="110"/>
        <w:rPr>
          <w:sz w:val="21"/>
        </w:rPr>
      </w:pPr>
      <w:r>
        <w:rPr>
          <w:sz w:val="21"/>
        </w:rPr>
        <w:t>Your tender responses to the tender requirements and pricing will be incorporated into the Contract, as</w:t>
      </w:r>
      <w:r>
        <w:rPr>
          <w:spacing w:val="-3"/>
          <w:sz w:val="21"/>
        </w:rPr>
        <w:t xml:space="preserve"> </w:t>
      </w:r>
      <w:r>
        <w:rPr>
          <w:sz w:val="21"/>
        </w:rPr>
        <w:t>appropriate.</w:t>
      </w:r>
    </w:p>
    <w:p w14:paraId="05259A3F" w14:textId="77777777" w:rsidR="0070592C" w:rsidRDefault="0070592C">
      <w:pPr>
        <w:pStyle w:val="BodyText"/>
        <w:rPr>
          <w:sz w:val="24"/>
        </w:rPr>
      </w:pPr>
    </w:p>
    <w:p w14:paraId="0E9B1EFC" w14:textId="77777777" w:rsidR="0070592C" w:rsidRDefault="0070592C">
      <w:pPr>
        <w:pStyle w:val="BodyText"/>
        <w:spacing w:before="5"/>
        <w:rPr>
          <w:sz w:val="27"/>
        </w:rPr>
      </w:pPr>
    </w:p>
    <w:p w14:paraId="70005095" w14:textId="77777777" w:rsidR="0070592C" w:rsidRDefault="00281EBC">
      <w:pPr>
        <w:pStyle w:val="Heading1"/>
        <w:numPr>
          <w:ilvl w:val="0"/>
          <w:numId w:val="3"/>
        </w:numPr>
        <w:tabs>
          <w:tab w:val="left" w:pos="833"/>
          <w:tab w:val="left" w:pos="835"/>
        </w:tabs>
        <w:spacing w:before="1"/>
        <w:ind w:left="834" w:hanging="654"/>
        <w:jc w:val="left"/>
      </w:pPr>
      <w:r>
        <w:t>Clarification</w:t>
      </w:r>
      <w:r>
        <w:rPr>
          <w:spacing w:val="-1"/>
        </w:rPr>
        <w:t xml:space="preserve"> </w:t>
      </w:r>
      <w:r>
        <w:t>Requests</w:t>
      </w:r>
    </w:p>
    <w:p w14:paraId="57205652" w14:textId="77777777" w:rsidR="0070592C" w:rsidRDefault="0070592C">
      <w:pPr>
        <w:pStyle w:val="BodyText"/>
        <w:spacing w:before="8"/>
        <w:rPr>
          <w:b/>
          <w:sz w:val="32"/>
        </w:rPr>
      </w:pPr>
    </w:p>
    <w:p w14:paraId="0E9C5ABD" w14:textId="77777777" w:rsidR="0070592C" w:rsidRDefault="00281EBC">
      <w:pPr>
        <w:pStyle w:val="ListParagraph"/>
        <w:numPr>
          <w:ilvl w:val="1"/>
          <w:numId w:val="3"/>
        </w:numPr>
        <w:tabs>
          <w:tab w:val="left" w:pos="835"/>
        </w:tabs>
        <w:spacing w:line="360" w:lineRule="auto"/>
        <w:ind w:right="106" w:firstLine="0"/>
        <w:jc w:val="both"/>
        <w:rPr>
          <w:sz w:val="21"/>
        </w:rPr>
      </w:pPr>
      <w:r>
        <w:rPr>
          <w:sz w:val="21"/>
        </w:rPr>
        <w:t>All clarification requests should be submitted to</w:t>
      </w:r>
      <w:r>
        <w:rPr>
          <w:color w:val="0000FF"/>
          <w:sz w:val="21"/>
        </w:rPr>
        <w:t xml:space="preserve"> </w:t>
      </w:r>
      <w:hyperlink r:id="rId22">
        <w:r>
          <w:rPr>
            <w:color w:val="0000FF"/>
            <w:sz w:val="21"/>
            <w:u w:val="single" w:color="0000FF"/>
          </w:rPr>
          <w:t>jamilya.gulyamova@britishcouncil.org</w:t>
        </w:r>
      </w:hyperlink>
      <w:r>
        <w:rPr>
          <w:color w:val="0000FF"/>
          <w:sz w:val="21"/>
        </w:rPr>
        <w:t xml:space="preserve"> </w:t>
      </w:r>
      <w:r>
        <w:rPr>
          <w:sz w:val="21"/>
        </w:rPr>
        <w:t>or</w:t>
      </w:r>
      <w:hyperlink r:id="rId23">
        <w:r>
          <w:rPr>
            <w:color w:val="0000FF"/>
            <w:sz w:val="21"/>
            <w:u w:val="single" w:color="0000FF"/>
          </w:rPr>
          <w:t xml:space="preserve"> jamilya.gulyamova@britishcouncil.uz</w:t>
        </w:r>
      </w:hyperlink>
      <w:r>
        <w:rPr>
          <w:color w:val="0000FF"/>
          <w:sz w:val="21"/>
        </w:rPr>
        <w:t xml:space="preserve"> </w:t>
      </w:r>
      <w:r>
        <w:rPr>
          <w:sz w:val="21"/>
        </w:rPr>
        <w:t>by the Clarification Deadline, as set out in the Timescales section of this RFP. The British Council is under no obligation to respond to clarification requests received after the Clarification</w:t>
      </w:r>
      <w:r>
        <w:rPr>
          <w:spacing w:val="-2"/>
          <w:sz w:val="21"/>
        </w:rPr>
        <w:t xml:space="preserve"> </w:t>
      </w:r>
      <w:r>
        <w:rPr>
          <w:sz w:val="21"/>
        </w:rPr>
        <w:t>Deadline.</w:t>
      </w:r>
    </w:p>
    <w:p w14:paraId="1F51BB0F" w14:textId="77777777" w:rsidR="0070592C" w:rsidRDefault="0070592C">
      <w:pPr>
        <w:pStyle w:val="BodyText"/>
        <w:spacing w:before="11"/>
        <w:rPr>
          <w:sz w:val="20"/>
        </w:rPr>
      </w:pPr>
    </w:p>
    <w:p w14:paraId="1D820358" w14:textId="77777777" w:rsidR="0070592C" w:rsidRDefault="00281EBC">
      <w:pPr>
        <w:pStyle w:val="ListParagraph"/>
        <w:numPr>
          <w:ilvl w:val="1"/>
          <w:numId w:val="3"/>
        </w:numPr>
        <w:tabs>
          <w:tab w:val="left" w:pos="835"/>
        </w:tabs>
        <w:spacing w:line="360" w:lineRule="auto"/>
        <w:ind w:right="108" w:firstLine="0"/>
        <w:jc w:val="both"/>
        <w:rPr>
          <w:sz w:val="21"/>
        </w:rPr>
      </w:pPr>
      <w:r>
        <w:rPr>
          <w:sz w:val="21"/>
        </w:rPr>
        <w:t>Any clarification requests should clearly reference the appropriate paragraph in the RFP documentation and, to the extent possible, should be aggregated rather than sent</w:t>
      </w:r>
      <w:r>
        <w:rPr>
          <w:spacing w:val="-18"/>
          <w:sz w:val="21"/>
        </w:rPr>
        <w:t xml:space="preserve"> </w:t>
      </w:r>
      <w:r>
        <w:rPr>
          <w:sz w:val="21"/>
        </w:rPr>
        <w:t>individually.</w:t>
      </w:r>
    </w:p>
    <w:p w14:paraId="1FC71918" w14:textId="77777777" w:rsidR="0070592C" w:rsidRDefault="0070592C">
      <w:pPr>
        <w:pStyle w:val="BodyText"/>
        <w:spacing w:before="10"/>
        <w:rPr>
          <w:sz w:val="20"/>
        </w:rPr>
      </w:pPr>
    </w:p>
    <w:p w14:paraId="341A6431" w14:textId="77777777" w:rsidR="0070592C" w:rsidRDefault="00281EBC">
      <w:pPr>
        <w:pStyle w:val="ListParagraph"/>
        <w:numPr>
          <w:ilvl w:val="1"/>
          <w:numId w:val="3"/>
        </w:numPr>
        <w:tabs>
          <w:tab w:val="left" w:pos="835"/>
        </w:tabs>
        <w:spacing w:line="360" w:lineRule="auto"/>
        <w:ind w:right="108" w:firstLine="0"/>
        <w:jc w:val="both"/>
        <w:rPr>
          <w:sz w:val="21"/>
        </w:rPr>
      </w:pPr>
      <w:r>
        <w:rPr>
          <w:sz w:val="21"/>
        </w:rPr>
        <w:t xml:space="preserve">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w:t>
      </w:r>
      <w:r>
        <w:rPr>
          <w:spacing w:val="3"/>
          <w:sz w:val="21"/>
        </w:rPr>
        <w:t xml:space="preserve">be </w:t>
      </w:r>
      <w:r>
        <w:rPr>
          <w:sz w:val="21"/>
        </w:rPr>
        <w:t>confidential, it will inform you and you will have the opportunity to withdraw the clarification query prior to the British Council responding to all potential</w:t>
      </w:r>
      <w:r>
        <w:rPr>
          <w:spacing w:val="-3"/>
          <w:sz w:val="21"/>
        </w:rPr>
        <w:t xml:space="preserve"> </w:t>
      </w:r>
      <w:r>
        <w:rPr>
          <w:sz w:val="21"/>
        </w:rPr>
        <w:t>suppliers.</w:t>
      </w:r>
    </w:p>
    <w:p w14:paraId="738287A9" w14:textId="77777777" w:rsidR="0070592C" w:rsidRDefault="0070592C">
      <w:pPr>
        <w:pStyle w:val="BodyText"/>
        <w:spacing w:before="9"/>
        <w:rPr>
          <w:sz w:val="20"/>
        </w:rPr>
      </w:pPr>
    </w:p>
    <w:p w14:paraId="719B52C1" w14:textId="77777777" w:rsidR="0070592C" w:rsidRDefault="00281EBC">
      <w:pPr>
        <w:pStyle w:val="ListParagraph"/>
        <w:numPr>
          <w:ilvl w:val="1"/>
          <w:numId w:val="3"/>
        </w:numPr>
        <w:tabs>
          <w:tab w:val="left" w:pos="835"/>
        </w:tabs>
        <w:spacing w:line="360" w:lineRule="auto"/>
        <w:ind w:right="106" w:firstLine="0"/>
        <w:jc w:val="both"/>
        <w:rPr>
          <w:sz w:val="21"/>
        </w:rPr>
      </w:pPr>
      <w:r>
        <w:rPr>
          <w:sz w:val="21"/>
        </w:rPr>
        <w:t>The British Council may at any time request further information from potential suppliers to verify or clarify</w:t>
      </w:r>
      <w:r>
        <w:rPr>
          <w:spacing w:val="13"/>
          <w:sz w:val="21"/>
        </w:rPr>
        <w:t xml:space="preserve"> </w:t>
      </w:r>
      <w:r>
        <w:rPr>
          <w:sz w:val="21"/>
        </w:rPr>
        <w:t>any</w:t>
      </w:r>
      <w:r>
        <w:rPr>
          <w:spacing w:val="13"/>
          <w:sz w:val="21"/>
        </w:rPr>
        <w:t xml:space="preserve"> </w:t>
      </w:r>
      <w:r>
        <w:rPr>
          <w:sz w:val="21"/>
        </w:rPr>
        <w:t>aspects</w:t>
      </w:r>
      <w:r>
        <w:rPr>
          <w:spacing w:val="13"/>
          <w:sz w:val="21"/>
        </w:rPr>
        <w:t xml:space="preserve"> </w:t>
      </w:r>
      <w:r>
        <w:rPr>
          <w:sz w:val="21"/>
        </w:rPr>
        <w:t>of</w:t>
      </w:r>
      <w:r>
        <w:rPr>
          <w:spacing w:val="12"/>
          <w:sz w:val="21"/>
        </w:rPr>
        <w:t xml:space="preserve"> </w:t>
      </w:r>
      <w:r>
        <w:rPr>
          <w:sz w:val="21"/>
        </w:rPr>
        <w:t>their</w:t>
      </w:r>
      <w:r>
        <w:rPr>
          <w:spacing w:val="12"/>
          <w:sz w:val="21"/>
        </w:rPr>
        <w:t xml:space="preserve"> </w:t>
      </w:r>
      <w:r>
        <w:rPr>
          <w:sz w:val="21"/>
        </w:rPr>
        <w:t>tender</w:t>
      </w:r>
      <w:r>
        <w:rPr>
          <w:spacing w:val="12"/>
          <w:sz w:val="21"/>
        </w:rPr>
        <w:t xml:space="preserve"> </w:t>
      </w:r>
      <w:r>
        <w:rPr>
          <w:sz w:val="21"/>
        </w:rPr>
        <w:t>response</w:t>
      </w:r>
      <w:r>
        <w:rPr>
          <w:spacing w:val="14"/>
          <w:sz w:val="21"/>
        </w:rPr>
        <w:t xml:space="preserve"> </w:t>
      </w:r>
      <w:r>
        <w:rPr>
          <w:sz w:val="21"/>
        </w:rPr>
        <w:t>or</w:t>
      </w:r>
      <w:r>
        <w:rPr>
          <w:spacing w:val="12"/>
          <w:sz w:val="21"/>
        </w:rPr>
        <w:t xml:space="preserve"> </w:t>
      </w:r>
      <w:r>
        <w:rPr>
          <w:sz w:val="21"/>
        </w:rPr>
        <w:t>other</w:t>
      </w:r>
      <w:r>
        <w:rPr>
          <w:spacing w:val="12"/>
          <w:sz w:val="21"/>
        </w:rPr>
        <w:t xml:space="preserve"> </w:t>
      </w:r>
      <w:r>
        <w:rPr>
          <w:sz w:val="21"/>
        </w:rPr>
        <w:t>information</w:t>
      </w:r>
      <w:r>
        <w:rPr>
          <w:spacing w:val="13"/>
          <w:sz w:val="21"/>
        </w:rPr>
        <w:t xml:space="preserve"> </w:t>
      </w:r>
      <w:r>
        <w:rPr>
          <w:sz w:val="21"/>
        </w:rPr>
        <w:t>they</w:t>
      </w:r>
      <w:r>
        <w:rPr>
          <w:spacing w:val="11"/>
          <w:sz w:val="21"/>
        </w:rPr>
        <w:t xml:space="preserve"> </w:t>
      </w:r>
      <w:r>
        <w:rPr>
          <w:sz w:val="21"/>
        </w:rPr>
        <w:t>may</w:t>
      </w:r>
      <w:r>
        <w:rPr>
          <w:spacing w:val="13"/>
          <w:sz w:val="21"/>
        </w:rPr>
        <w:t xml:space="preserve"> </w:t>
      </w:r>
      <w:r>
        <w:rPr>
          <w:sz w:val="21"/>
        </w:rPr>
        <w:t>have</w:t>
      </w:r>
      <w:r>
        <w:rPr>
          <w:spacing w:val="14"/>
          <w:sz w:val="21"/>
        </w:rPr>
        <w:t xml:space="preserve"> </w:t>
      </w:r>
      <w:r>
        <w:rPr>
          <w:sz w:val="21"/>
        </w:rPr>
        <w:t>provided.</w:t>
      </w:r>
      <w:r>
        <w:rPr>
          <w:spacing w:val="12"/>
          <w:sz w:val="21"/>
        </w:rPr>
        <w:t xml:space="preserve"> </w:t>
      </w:r>
      <w:r>
        <w:rPr>
          <w:sz w:val="21"/>
        </w:rPr>
        <w:t>Should</w:t>
      </w:r>
      <w:r>
        <w:rPr>
          <w:spacing w:val="13"/>
          <w:sz w:val="21"/>
        </w:rPr>
        <w:t xml:space="preserve"> </w:t>
      </w:r>
      <w:r>
        <w:rPr>
          <w:sz w:val="21"/>
        </w:rPr>
        <w:t>you</w:t>
      </w:r>
      <w:r>
        <w:rPr>
          <w:spacing w:val="18"/>
          <w:sz w:val="21"/>
        </w:rPr>
        <w:t xml:space="preserve"> </w:t>
      </w:r>
      <w:r>
        <w:rPr>
          <w:sz w:val="21"/>
        </w:rPr>
        <w:t>not</w:t>
      </w:r>
    </w:p>
    <w:p w14:paraId="6EC2B9C2" w14:textId="77777777" w:rsidR="0070592C" w:rsidRDefault="0070592C">
      <w:pPr>
        <w:spacing w:line="360" w:lineRule="auto"/>
        <w:jc w:val="both"/>
        <w:rPr>
          <w:sz w:val="21"/>
        </w:rPr>
        <w:sectPr w:rsidR="0070592C">
          <w:pgSz w:w="11910" w:h="16840"/>
          <w:pgMar w:top="1240" w:right="880" w:bottom="980" w:left="880" w:header="0" w:footer="800" w:gutter="0"/>
          <w:cols w:space="720"/>
        </w:sectPr>
      </w:pPr>
    </w:p>
    <w:p w14:paraId="3F5D4D39" w14:textId="77777777" w:rsidR="0070592C" w:rsidRDefault="00281EBC">
      <w:pPr>
        <w:pStyle w:val="BodyText"/>
        <w:spacing w:before="65" w:line="360" w:lineRule="auto"/>
        <w:ind w:left="113" w:right="30"/>
      </w:pPr>
      <w:r>
        <w:lastRenderedPageBreak/>
        <w:t>provide supplementary information or clarifications to the British Council by any deadline notified to you, your tender response may be rejected in full and you may be disqualified from this Procurement Process.</w:t>
      </w:r>
    </w:p>
    <w:p w14:paraId="79686662" w14:textId="77777777" w:rsidR="0070592C" w:rsidRDefault="0070592C">
      <w:pPr>
        <w:pStyle w:val="BodyText"/>
        <w:rPr>
          <w:sz w:val="24"/>
        </w:rPr>
      </w:pPr>
    </w:p>
    <w:p w14:paraId="352CC646" w14:textId="77777777" w:rsidR="0070592C" w:rsidRDefault="0070592C">
      <w:pPr>
        <w:pStyle w:val="BodyText"/>
        <w:rPr>
          <w:sz w:val="24"/>
        </w:rPr>
      </w:pPr>
    </w:p>
    <w:p w14:paraId="11BF2AE6" w14:textId="77777777" w:rsidR="0070592C" w:rsidRDefault="0070592C">
      <w:pPr>
        <w:pStyle w:val="BodyText"/>
        <w:spacing w:before="11"/>
        <w:rPr>
          <w:sz w:val="23"/>
        </w:rPr>
      </w:pPr>
    </w:p>
    <w:p w14:paraId="6DDD6742" w14:textId="77777777" w:rsidR="0070592C" w:rsidRDefault="00281EBC">
      <w:pPr>
        <w:pStyle w:val="Heading1"/>
        <w:numPr>
          <w:ilvl w:val="0"/>
          <w:numId w:val="3"/>
        </w:numPr>
        <w:tabs>
          <w:tab w:val="left" w:pos="833"/>
          <w:tab w:val="left" w:pos="835"/>
        </w:tabs>
        <w:ind w:left="834"/>
        <w:jc w:val="left"/>
      </w:pPr>
      <w:r>
        <w:t>Evaluation</w:t>
      </w:r>
      <w:r>
        <w:rPr>
          <w:spacing w:val="-1"/>
        </w:rPr>
        <w:t xml:space="preserve"> </w:t>
      </w:r>
      <w:r>
        <w:t>Criteria</w:t>
      </w:r>
    </w:p>
    <w:p w14:paraId="61CF4789" w14:textId="77777777" w:rsidR="0070592C" w:rsidRDefault="0070592C">
      <w:pPr>
        <w:pStyle w:val="BodyText"/>
        <w:spacing w:before="8"/>
        <w:rPr>
          <w:b/>
          <w:sz w:val="32"/>
        </w:rPr>
      </w:pPr>
    </w:p>
    <w:p w14:paraId="67F836A6" w14:textId="77777777" w:rsidR="0070592C" w:rsidRDefault="00281EBC">
      <w:pPr>
        <w:pStyle w:val="ListParagraph"/>
        <w:numPr>
          <w:ilvl w:val="1"/>
          <w:numId w:val="3"/>
        </w:numPr>
        <w:tabs>
          <w:tab w:val="left" w:pos="833"/>
          <w:tab w:val="left" w:pos="835"/>
        </w:tabs>
        <w:ind w:left="834"/>
        <w:rPr>
          <w:sz w:val="21"/>
        </w:rPr>
      </w:pPr>
      <w:r>
        <w:rPr>
          <w:sz w:val="21"/>
        </w:rPr>
        <w:t>You will have your tender response evaluated as set out</w:t>
      </w:r>
      <w:r>
        <w:rPr>
          <w:spacing w:val="-15"/>
          <w:sz w:val="21"/>
        </w:rPr>
        <w:t xml:space="preserve"> </w:t>
      </w:r>
      <w:r>
        <w:rPr>
          <w:sz w:val="21"/>
        </w:rPr>
        <w:t>below:</w:t>
      </w:r>
    </w:p>
    <w:p w14:paraId="38555D04" w14:textId="77777777" w:rsidR="0070592C" w:rsidRDefault="0070592C">
      <w:pPr>
        <w:pStyle w:val="BodyText"/>
        <w:spacing w:before="4"/>
        <w:rPr>
          <w:sz w:val="31"/>
        </w:rPr>
      </w:pPr>
    </w:p>
    <w:p w14:paraId="3DDE2CB5" w14:textId="77777777" w:rsidR="0070592C" w:rsidRDefault="00281EBC">
      <w:pPr>
        <w:pStyle w:val="BodyText"/>
        <w:spacing w:line="360" w:lineRule="auto"/>
        <w:ind w:left="113" w:right="108"/>
        <w:jc w:val="both"/>
      </w:pPr>
      <w:r>
        <w:rPr>
          <w:b/>
        </w:rPr>
        <w:t xml:space="preserve">Stage 1: </w:t>
      </w:r>
      <w:r>
        <w:t>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RFP and/or containing omissions may be rejected at this point. Where a tender response is rejected at this point it will automatically be disqualified and will not be further evaluated.</w:t>
      </w:r>
    </w:p>
    <w:p w14:paraId="0F65F5D2" w14:textId="77777777" w:rsidR="0070592C" w:rsidRDefault="00281EBC">
      <w:pPr>
        <w:pStyle w:val="BodyText"/>
        <w:spacing w:before="2"/>
        <w:ind w:left="5022"/>
      </w:pPr>
      <w:r>
        <w:t>↓</w:t>
      </w:r>
    </w:p>
    <w:p w14:paraId="55943980" w14:textId="77777777" w:rsidR="0070592C" w:rsidRDefault="0070592C">
      <w:pPr>
        <w:pStyle w:val="BodyText"/>
        <w:spacing w:before="4"/>
        <w:rPr>
          <w:sz w:val="31"/>
        </w:rPr>
      </w:pPr>
    </w:p>
    <w:p w14:paraId="326ED6E4" w14:textId="77777777" w:rsidR="0070592C" w:rsidRDefault="00281EBC">
      <w:pPr>
        <w:pStyle w:val="BodyText"/>
        <w:spacing w:line="360" w:lineRule="auto"/>
        <w:ind w:left="113" w:right="107"/>
        <w:jc w:val="both"/>
      </w:pPr>
      <w:r>
        <w:rPr>
          <w:b/>
        </w:rPr>
        <w:t xml:space="preserve">Stage 2: </w:t>
      </w:r>
      <w:r>
        <w:t xml:space="preserve">The completed Qualification Questionnaire </w:t>
      </w:r>
      <w:r>
        <w:rPr>
          <w:i/>
        </w:rPr>
        <w:t xml:space="preserve">(if used) </w:t>
      </w:r>
      <w:r>
        <w:t xml:space="preserve">will then be reviewed to confirm that the potential supplier meets all of the qualification criteria set out in the questionnaire. Potential suppliers that meet the qualification criteria will proceed to Stage 3. Potential suppliers that do not meet the qualification criteria set out in the Qualification Questionnaire </w:t>
      </w:r>
      <w:r>
        <w:rPr>
          <w:i/>
        </w:rPr>
        <w:t xml:space="preserve">(if used) </w:t>
      </w:r>
      <w:r>
        <w:t>may be excluded from the Procurement Process at this point. Where a potential supplier is excluded at this point, its tender response will be rejected in full and not evaluated further and the supplier will automatically be disqualified from this Procurement Process.</w:t>
      </w:r>
    </w:p>
    <w:p w14:paraId="6136B82D" w14:textId="77777777" w:rsidR="0070592C" w:rsidRDefault="00281EBC">
      <w:pPr>
        <w:pStyle w:val="BodyText"/>
        <w:spacing w:line="241" w:lineRule="exact"/>
        <w:ind w:left="5022"/>
      </w:pPr>
      <w:r>
        <w:t>↓</w:t>
      </w:r>
    </w:p>
    <w:p w14:paraId="0B447DE7" w14:textId="77777777" w:rsidR="0070592C" w:rsidRDefault="0070592C">
      <w:pPr>
        <w:pStyle w:val="BodyText"/>
        <w:spacing w:before="5"/>
        <w:rPr>
          <w:sz w:val="31"/>
        </w:rPr>
      </w:pPr>
    </w:p>
    <w:p w14:paraId="5D9EBB71" w14:textId="77777777" w:rsidR="0070592C" w:rsidRDefault="00281EBC">
      <w:pPr>
        <w:pStyle w:val="BodyText"/>
        <w:spacing w:line="360" w:lineRule="auto"/>
        <w:ind w:left="113" w:right="106"/>
        <w:jc w:val="both"/>
      </w:pPr>
      <w:r>
        <w:rPr>
          <w:b/>
        </w:rPr>
        <w:t xml:space="preserve">Stage 3: </w:t>
      </w:r>
      <w:r>
        <w:t xml:space="preserve">If a bidder succeeds in passing Stages 1 and 2 of the evaluation, then it will have its detailed tender response to the British Council’s requirements evaluated in accordance with the evaluation methodology set out below. Information provided as part of Qualification Questionnaire </w:t>
      </w:r>
      <w:r>
        <w:rPr>
          <w:i/>
        </w:rPr>
        <w:t xml:space="preserve">(if used) </w:t>
      </w:r>
      <w:r>
        <w:t>responses may also be verified as part of this stage.</w:t>
      </w:r>
    </w:p>
    <w:p w14:paraId="2D89C48E" w14:textId="77777777" w:rsidR="0070592C" w:rsidRDefault="0070592C">
      <w:pPr>
        <w:pStyle w:val="BodyText"/>
      </w:pPr>
    </w:p>
    <w:p w14:paraId="194641A6" w14:textId="77777777" w:rsidR="0070592C" w:rsidRDefault="00281EBC">
      <w:pPr>
        <w:pStyle w:val="ListParagraph"/>
        <w:numPr>
          <w:ilvl w:val="1"/>
          <w:numId w:val="3"/>
        </w:numPr>
        <w:tabs>
          <w:tab w:val="left" w:pos="835"/>
        </w:tabs>
        <w:spacing w:line="360" w:lineRule="auto"/>
        <w:ind w:right="108" w:firstLine="0"/>
        <w:jc w:val="both"/>
        <w:rPr>
          <w:sz w:val="21"/>
        </w:rPr>
      </w:pPr>
      <w:r>
        <w:rPr>
          <w:sz w:val="21"/>
          <w:u w:val="single"/>
        </w:rPr>
        <w:t>Award Criteria</w:t>
      </w:r>
      <w:r>
        <w:rPr>
          <w:sz w:val="21"/>
        </w:rPr>
        <w:t xml:space="preserve"> – Responses from potential suppliers will be assessed to determine the most economically advantages tender using the following criteria and weightings and will be assessed entirely on your response</w:t>
      </w:r>
      <w:r>
        <w:rPr>
          <w:spacing w:val="-4"/>
          <w:sz w:val="21"/>
        </w:rPr>
        <w:t xml:space="preserve"> </w:t>
      </w:r>
      <w:r>
        <w:rPr>
          <w:sz w:val="21"/>
        </w:rPr>
        <w:t>submitted:</w:t>
      </w:r>
    </w:p>
    <w:p w14:paraId="37512A6A" w14:textId="77777777" w:rsidR="0070592C" w:rsidRDefault="0070592C">
      <w:pPr>
        <w:pStyle w:val="BodyText"/>
        <w:rPr>
          <w:sz w:val="20"/>
        </w:rPr>
      </w:pPr>
    </w:p>
    <w:p w14:paraId="3FD4E552" w14:textId="77777777" w:rsidR="0070592C" w:rsidRDefault="0070592C">
      <w:pPr>
        <w:pStyle w:val="BodyText"/>
        <w:spacing w:before="4"/>
        <w:rPr>
          <w:sz w:val="11"/>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3"/>
        <w:gridCol w:w="4623"/>
      </w:tblGrid>
      <w:tr w:rsidR="0070592C" w14:paraId="7DD6179C" w14:textId="77777777">
        <w:trPr>
          <w:trHeight w:val="364"/>
        </w:trPr>
        <w:tc>
          <w:tcPr>
            <w:tcW w:w="4623" w:type="dxa"/>
            <w:tcBorders>
              <w:right w:val="single" w:sz="6" w:space="0" w:color="000000"/>
            </w:tcBorders>
            <w:shd w:val="clear" w:color="auto" w:fill="D9D9D9"/>
          </w:tcPr>
          <w:p w14:paraId="656E5932" w14:textId="77777777" w:rsidR="0070592C" w:rsidRDefault="00281EBC">
            <w:pPr>
              <w:pStyle w:val="TableParagraph"/>
              <w:spacing w:before="2"/>
              <w:rPr>
                <w:b/>
                <w:sz w:val="21"/>
              </w:rPr>
            </w:pPr>
            <w:r>
              <w:rPr>
                <w:b/>
                <w:sz w:val="21"/>
              </w:rPr>
              <w:t>Criteria</w:t>
            </w:r>
          </w:p>
        </w:tc>
        <w:tc>
          <w:tcPr>
            <w:tcW w:w="4623" w:type="dxa"/>
            <w:tcBorders>
              <w:left w:val="single" w:sz="6" w:space="0" w:color="000000"/>
            </w:tcBorders>
            <w:shd w:val="clear" w:color="auto" w:fill="D9D9D9"/>
          </w:tcPr>
          <w:p w14:paraId="5560CE45" w14:textId="77777777" w:rsidR="0070592C" w:rsidRDefault="00281EBC">
            <w:pPr>
              <w:pStyle w:val="TableParagraph"/>
              <w:spacing w:before="2"/>
              <w:ind w:left="103"/>
              <w:rPr>
                <w:b/>
                <w:sz w:val="21"/>
              </w:rPr>
            </w:pPr>
            <w:r>
              <w:rPr>
                <w:b/>
                <w:sz w:val="21"/>
              </w:rPr>
              <w:t>Weighting</w:t>
            </w:r>
          </w:p>
        </w:tc>
      </w:tr>
      <w:tr w:rsidR="0070592C" w14:paraId="3E394F48" w14:textId="77777777">
        <w:trPr>
          <w:trHeight w:val="758"/>
        </w:trPr>
        <w:tc>
          <w:tcPr>
            <w:tcW w:w="4623" w:type="dxa"/>
            <w:tcBorders>
              <w:right w:val="single" w:sz="6" w:space="0" w:color="000000"/>
            </w:tcBorders>
          </w:tcPr>
          <w:p w14:paraId="1954C71E" w14:textId="77777777" w:rsidR="0070592C" w:rsidRDefault="00281EBC">
            <w:pPr>
              <w:pStyle w:val="TableParagraph"/>
              <w:tabs>
                <w:tab w:val="left" w:pos="1293"/>
                <w:tab w:val="left" w:pos="2941"/>
                <w:tab w:val="left" w:pos="4147"/>
              </w:tabs>
            </w:pPr>
            <w:r>
              <w:t>Relevant</w:t>
            </w:r>
            <w:r>
              <w:tab/>
              <w:t>qualifications,</w:t>
            </w:r>
            <w:r>
              <w:tab/>
              <w:t>expertise</w:t>
            </w:r>
            <w:r>
              <w:tab/>
              <w:t>and</w:t>
            </w:r>
          </w:p>
          <w:p w14:paraId="64677EB9" w14:textId="77777777" w:rsidR="0070592C" w:rsidRDefault="00281EBC">
            <w:pPr>
              <w:pStyle w:val="TableParagraph"/>
              <w:spacing w:before="126"/>
            </w:pPr>
            <w:r>
              <w:t>experience</w:t>
            </w:r>
          </w:p>
        </w:tc>
        <w:tc>
          <w:tcPr>
            <w:tcW w:w="4623" w:type="dxa"/>
            <w:tcBorders>
              <w:left w:val="single" w:sz="6" w:space="0" w:color="000000"/>
            </w:tcBorders>
          </w:tcPr>
          <w:p w14:paraId="71755B37" w14:textId="77777777" w:rsidR="0070592C" w:rsidRDefault="00281EBC">
            <w:pPr>
              <w:pStyle w:val="TableParagraph"/>
              <w:spacing w:line="241" w:lineRule="exact"/>
              <w:ind w:left="103"/>
              <w:rPr>
                <w:sz w:val="21"/>
              </w:rPr>
            </w:pPr>
            <w:r>
              <w:rPr>
                <w:sz w:val="21"/>
              </w:rPr>
              <w:t>50%</w:t>
            </w:r>
          </w:p>
        </w:tc>
      </w:tr>
      <w:tr w:rsidR="0070592C" w14:paraId="6DF4A515" w14:textId="77777777">
        <w:trPr>
          <w:trHeight w:val="362"/>
        </w:trPr>
        <w:tc>
          <w:tcPr>
            <w:tcW w:w="4623" w:type="dxa"/>
            <w:tcBorders>
              <w:right w:val="single" w:sz="6" w:space="0" w:color="000000"/>
            </w:tcBorders>
          </w:tcPr>
          <w:p w14:paraId="37A35233" w14:textId="77777777" w:rsidR="0070592C" w:rsidRDefault="00281EBC">
            <w:pPr>
              <w:pStyle w:val="TableParagraph"/>
              <w:rPr>
                <w:sz w:val="21"/>
              </w:rPr>
            </w:pPr>
            <w:r>
              <w:rPr>
                <w:sz w:val="21"/>
              </w:rPr>
              <w:t>Methodology and Approach</w:t>
            </w:r>
          </w:p>
        </w:tc>
        <w:tc>
          <w:tcPr>
            <w:tcW w:w="4623" w:type="dxa"/>
            <w:tcBorders>
              <w:left w:val="single" w:sz="6" w:space="0" w:color="000000"/>
            </w:tcBorders>
          </w:tcPr>
          <w:p w14:paraId="0F954E97" w14:textId="77777777" w:rsidR="0070592C" w:rsidRDefault="00281EBC">
            <w:pPr>
              <w:pStyle w:val="TableParagraph"/>
              <w:ind w:left="103"/>
              <w:rPr>
                <w:sz w:val="21"/>
              </w:rPr>
            </w:pPr>
            <w:r>
              <w:rPr>
                <w:sz w:val="21"/>
              </w:rPr>
              <w:t>30%</w:t>
            </w:r>
          </w:p>
        </w:tc>
      </w:tr>
      <w:tr w:rsidR="0070592C" w14:paraId="1A380912" w14:textId="77777777">
        <w:trPr>
          <w:trHeight w:val="378"/>
        </w:trPr>
        <w:tc>
          <w:tcPr>
            <w:tcW w:w="4623" w:type="dxa"/>
            <w:tcBorders>
              <w:right w:val="single" w:sz="6" w:space="0" w:color="000000"/>
            </w:tcBorders>
          </w:tcPr>
          <w:p w14:paraId="5D6E199A" w14:textId="77777777" w:rsidR="0070592C" w:rsidRDefault="00281EBC">
            <w:pPr>
              <w:pStyle w:val="TableParagraph"/>
            </w:pPr>
            <w:r>
              <w:t>Financial</w:t>
            </w:r>
          </w:p>
        </w:tc>
        <w:tc>
          <w:tcPr>
            <w:tcW w:w="4623" w:type="dxa"/>
            <w:tcBorders>
              <w:left w:val="single" w:sz="6" w:space="0" w:color="000000"/>
            </w:tcBorders>
          </w:tcPr>
          <w:p w14:paraId="63D91644" w14:textId="77777777" w:rsidR="0070592C" w:rsidRDefault="00281EBC">
            <w:pPr>
              <w:pStyle w:val="TableParagraph"/>
              <w:spacing w:line="241" w:lineRule="exact"/>
              <w:ind w:left="103"/>
              <w:rPr>
                <w:sz w:val="21"/>
              </w:rPr>
            </w:pPr>
            <w:r>
              <w:rPr>
                <w:sz w:val="21"/>
              </w:rPr>
              <w:t>20%</w:t>
            </w:r>
          </w:p>
        </w:tc>
      </w:tr>
    </w:tbl>
    <w:p w14:paraId="72C0AD43" w14:textId="77777777" w:rsidR="0070592C" w:rsidRDefault="0070592C">
      <w:pPr>
        <w:spacing w:line="241" w:lineRule="exact"/>
        <w:rPr>
          <w:sz w:val="21"/>
        </w:rPr>
        <w:sectPr w:rsidR="0070592C">
          <w:pgSz w:w="11910" w:h="16840"/>
          <w:pgMar w:top="1260" w:right="880" w:bottom="980" w:left="880" w:header="0" w:footer="800" w:gutter="0"/>
          <w:cols w:space="720"/>
        </w:sectPr>
      </w:pPr>
    </w:p>
    <w:p w14:paraId="64C3C63E" w14:textId="77777777" w:rsidR="0070592C" w:rsidRDefault="00281EBC">
      <w:pPr>
        <w:pStyle w:val="ListParagraph"/>
        <w:numPr>
          <w:ilvl w:val="1"/>
          <w:numId w:val="3"/>
        </w:numPr>
        <w:tabs>
          <w:tab w:val="left" w:pos="835"/>
        </w:tabs>
        <w:spacing w:before="65" w:line="360" w:lineRule="auto"/>
        <w:ind w:right="106" w:firstLine="0"/>
        <w:jc w:val="both"/>
        <w:rPr>
          <w:sz w:val="21"/>
        </w:rPr>
      </w:pPr>
      <w:r>
        <w:rPr>
          <w:sz w:val="21"/>
          <w:u w:val="single"/>
        </w:rPr>
        <w:lastRenderedPageBreak/>
        <w:t>Scoring Model</w:t>
      </w:r>
      <w:r>
        <w:rPr>
          <w:sz w:val="21"/>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other than Commercial using the following scoring</w:t>
      </w:r>
      <w:r>
        <w:rPr>
          <w:spacing w:val="-6"/>
          <w:sz w:val="21"/>
        </w:rPr>
        <w:t xml:space="preserve"> </w:t>
      </w:r>
      <w:r>
        <w:rPr>
          <w:sz w:val="21"/>
        </w:rPr>
        <w:t>model:</w:t>
      </w:r>
    </w:p>
    <w:p w14:paraId="45992FBC" w14:textId="77777777" w:rsidR="0070592C" w:rsidRDefault="0070592C">
      <w:pPr>
        <w:pStyle w:val="BodyText"/>
        <w:rPr>
          <w:sz w:val="20"/>
        </w:rPr>
      </w:pPr>
    </w:p>
    <w:p w14:paraId="20C918C3" w14:textId="77777777" w:rsidR="0070592C" w:rsidRDefault="0070592C">
      <w:pPr>
        <w:pStyle w:val="BodyText"/>
        <w:spacing w:before="7" w:after="1"/>
        <w:rPr>
          <w:sz w:val="11"/>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
        <w:gridCol w:w="8442"/>
      </w:tblGrid>
      <w:tr w:rsidR="0070592C" w14:paraId="61198045" w14:textId="77777777">
        <w:trPr>
          <w:trHeight w:val="362"/>
        </w:trPr>
        <w:tc>
          <w:tcPr>
            <w:tcW w:w="914" w:type="dxa"/>
            <w:shd w:val="clear" w:color="auto" w:fill="B3B3B3"/>
          </w:tcPr>
          <w:p w14:paraId="5DC7C608" w14:textId="77777777" w:rsidR="0070592C" w:rsidRDefault="00281EBC">
            <w:pPr>
              <w:pStyle w:val="TableParagraph"/>
              <w:spacing w:line="241" w:lineRule="exact"/>
              <w:rPr>
                <w:b/>
                <w:sz w:val="21"/>
              </w:rPr>
            </w:pPr>
            <w:r>
              <w:rPr>
                <w:b/>
                <w:sz w:val="21"/>
              </w:rPr>
              <w:t>Points</w:t>
            </w:r>
          </w:p>
        </w:tc>
        <w:tc>
          <w:tcPr>
            <w:tcW w:w="8442" w:type="dxa"/>
            <w:shd w:val="clear" w:color="auto" w:fill="B3B3B3"/>
          </w:tcPr>
          <w:p w14:paraId="54050EE6" w14:textId="77777777" w:rsidR="0070592C" w:rsidRDefault="00281EBC">
            <w:pPr>
              <w:pStyle w:val="TableParagraph"/>
              <w:spacing w:line="241" w:lineRule="exact"/>
              <w:ind w:left="108"/>
              <w:rPr>
                <w:b/>
                <w:sz w:val="21"/>
              </w:rPr>
            </w:pPr>
            <w:r>
              <w:rPr>
                <w:b/>
                <w:sz w:val="21"/>
              </w:rPr>
              <w:t>Interpretation</w:t>
            </w:r>
          </w:p>
        </w:tc>
      </w:tr>
      <w:tr w:rsidR="0070592C" w14:paraId="3A139E73" w14:textId="77777777">
        <w:trPr>
          <w:trHeight w:val="1689"/>
        </w:trPr>
        <w:tc>
          <w:tcPr>
            <w:tcW w:w="914" w:type="dxa"/>
          </w:tcPr>
          <w:p w14:paraId="2A5AB46E" w14:textId="77777777" w:rsidR="0070592C" w:rsidRDefault="0070592C">
            <w:pPr>
              <w:pStyle w:val="TableParagraph"/>
              <w:ind w:left="0"/>
              <w:rPr>
                <w:sz w:val="24"/>
              </w:rPr>
            </w:pPr>
          </w:p>
          <w:p w14:paraId="74C89FDF" w14:textId="77777777" w:rsidR="0070592C" w:rsidRDefault="0070592C">
            <w:pPr>
              <w:pStyle w:val="TableParagraph"/>
              <w:spacing w:before="1"/>
              <w:ind w:left="0"/>
              <w:rPr>
                <w:sz w:val="23"/>
              </w:rPr>
            </w:pPr>
          </w:p>
          <w:p w14:paraId="4FAA2BE4" w14:textId="77777777" w:rsidR="0070592C" w:rsidRDefault="00281EBC">
            <w:pPr>
              <w:pStyle w:val="TableParagraph"/>
              <w:rPr>
                <w:b/>
                <w:sz w:val="21"/>
              </w:rPr>
            </w:pPr>
            <w:r>
              <w:rPr>
                <w:b/>
                <w:sz w:val="21"/>
              </w:rPr>
              <w:t>10</w:t>
            </w:r>
          </w:p>
        </w:tc>
        <w:tc>
          <w:tcPr>
            <w:tcW w:w="8442" w:type="dxa"/>
          </w:tcPr>
          <w:p w14:paraId="4E62A9A9" w14:textId="77777777" w:rsidR="0070592C" w:rsidRDefault="00281EBC">
            <w:pPr>
              <w:pStyle w:val="TableParagraph"/>
              <w:spacing w:line="360" w:lineRule="auto"/>
              <w:ind w:left="108" w:right="93"/>
              <w:jc w:val="both"/>
              <w:rPr>
                <w:sz w:val="21"/>
              </w:rPr>
            </w:pPr>
            <w:r>
              <w:rPr>
                <w:b/>
                <w:sz w:val="21"/>
              </w:rPr>
              <w:t xml:space="preserve">Excellent </w:t>
            </w:r>
            <w:r>
              <w:rPr>
                <w:sz w:val="21"/>
              </w:rPr>
              <w:t>– 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w:t>
            </w:r>
          </w:p>
        </w:tc>
      </w:tr>
      <w:tr w:rsidR="0070592C" w14:paraId="65EF6948" w14:textId="77777777">
        <w:trPr>
          <w:trHeight w:val="2411"/>
        </w:trPr>
        <w:tc>
          <w:tcPr>
            <w:tcW w:w="914" w:type="dxa"/>
          </w:tcPr>
          <w:p w14:paraId="1DB26464" w14:textId="77777777" w:rsidR="0070592C" w:rsidRDefault="0070592C">
            <w:pPr>
              <w:pStyle w:val="TableParagraph"/>
              <w:ind w:left="0"/>
              <w:rPr>
                <w:sz w:val="24"/>
              </w:rPr>
            </w:pPr>
          </w:p>
          <w:p w14:paraId="5FC21629" w14:textId="77777777" w:rsidR="0070592C" w:rsidRDefault="0070592C">
            <w:pPr>
              <w:pStyle w:val="TableParagraph"/>
              <w:ind w:left="0"/>
              <w:rPr>
                <w:sz w:val="24"/>
              </w:rPr>
            </w:pPr>
          </w:p>
          <w:p w14:paraId="33D907D3" w14:textId="77777777" w:rsidR="0070592C" w:rsidRDefault="0070592C">
            <w:pPr>
              <w:pStyle w:val="TableParagraph"/>
              <w:spacing w:before="7"/>
              <w:ind w:left="0"/>
              <w:rPr>
                <w:sz w:val="30"/>
              </w:rPr>
            </w:pPr>
          </w:p>
          <w:p w14:paraId="280DF6D5" w14:textId="77777777" w:rsidR="0070592C" w:rsidRDefault="00281EBC">
            <w:pPr>
              <w:pStyle w:val="TableParagraph"/>
              <w:rPr>
                <w:b/>
                <w:sz w:val="21"/>
              </w:rPr>
            </w:pPr>
            <w:r>
              <w:rPr>
                <w:b/>
                <w:sz w:val="21"/>
              </w:rPr>
              <w:t>7</w:t>
            </w:r>
          </w:p>
        </w:tc>
        <w:tc>
          <w:tcPr>
            <w:tcW w:w="8442" w:type="dxa"/>
          </w:tcPr>
          <w:p w14:paraId="3AC3004D" w14:textId="77777777" w:rsidR="0070592C" w:rsidRDefault="00281EBC">
            <w:pPr>
              <w:pStyle w:val="TableParagraph"/>
              <w:spacing w:line="360" w:lineRule="auto"/>
              <w:ind w:left="108" w:right="94"/>
              <w:jc w:val="both"/>
              <w:rPr>
                <w:sz w:val="21"/>
              </w:rPr>
            </w:pPr>
            <w:r>
              <w:rPr>
                <w:b/>
                <w:sz w:val="21"/>
              </w:rPr>
              <w:t xml:space="preserve">Good </w:t>
            </w:r>
            <w:r>
              <w:rPr>
                <w:sz w:val="21"/>
              </w:rPr>
              <w:t>– 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bidders failure to provide all information at the level of detail requested.</w:t>
            </w:r>
          </w:p>
        </w:tc>
      </w:tr>
      <w:tr w:rsidR="0070592C" w14:paraId="55D130BC" w14:textId="77777777">
        <w:trPr>
          <w:trHeight w:val="2051"/>
        </w:trPr>
        <w:tc>
          <w:tcPr>
            <w:tcW w:w="914" w:type="dxa"/>
          </w:tcPr>
          <w:p w14:paraId="2CA6CACC" w14:textId="77777777" w:rsidR="0070592C" w:rsidRDefault="0070592C">
            <w:pPr>
              <w:pStyle w:val="TableParagraph"/>
              <w:ind w:left="0"/>
              <w:rPr>
                <w:sz w:val="24"/>
              </w:rPr>
            </w:pPr>
          </w:p>
          <w:p w14:paraId="15BEAD35" w14:textId="77777777" w:rsidR="0070592C" w:rsidRDefault="0070592C">
            <w:pPr>
              <w:pStyle w:val="TableParagraph"/>
              <w:ind w:left="0"/>
              <w:rPr>
                <w:sz w:val="24"/>
              </w:rPr>
            </w:pPr>
          </w:p>
          <w:p w14:paraId="4F078D77" w14:textId="77777777" w:rsidR="0070592C" w:rsidRDefault="00281EBC">
            <w:pPr>
              <w:pStyle w:val="TableParagraph"/>
              <w:spacing w:before="172"/>
              <w:rPr>
                <w:b/>
                <w:sz w:val="21"/>
              </w:rPr>
            </w:pPr>
            <w:r>
              <w:rPr>
                <w:b/>
                <w:sz w:val="21"/>
              </w:rPr>
              <w:t>5</w:t>
            </w:r>
          </w:p>
        </w:tc>
        <w:tc>
          <w:tcPr>
            <w:tcW w:w="8442" w:type="dxa"/>
          </w:tcPr>
          <w:p w14:paraId="6FCAE572" w14:textId="77777777" w:rsidR="0070592C" w:rsidRDefault="00281EBC">
            <w:pPr>
              <w:pStyle w:val="TableParagraph"/>
              <w:spacing w:before="2" w:line="360" w:lineRule="auto"/>
              <w:ind w:left="108" w:right="93"/>
              <w:jc w:val="both"/>
              <w:rPr>
                <w:sz w:val="21"/>
              </w:rPr>
            </w:pPr>
            <w:r>
              <w:rPr>
                <w:b/>
                <w:sz w:val="21"/>
              </w:rPr>
              <w:t xml:space="preserve">Adequate </w:t>
            </w:r>
            <w:r>
              <w:rPr>
                <w:sz w:val="21"/>
              </w:rPr>
              <w:t>– 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0070592C" w14:paraId="0F56E3F8" w14:textId="77777777">
        <w:trPr>
          <w:trHeight w:val="1689"/>
        </w:trPr>
        <w:tc>
          <w:tcPr>
            <w:tcW w:w="914" w:type="dxa"/>
          </w:tcPr>
          <w:p w14:paraId="554792E8" w14:textId="77777777" w:rsidR="0070592C" w:rsidRDefault="0070592C">
            <w:pPr>
              <w:pStyle w:val="TableParagraph"/>
              <w:ind w:left="0"/>
              <w:rPr>
                <w:sz w:val="24"/>
              </w:rPr>
            </w:pPr>
          </w:p>
          <w:p w14:paraId="35DBBCBA" w14:textId="77777777" w:rsidR="0070592C" w:rsidRDefault="0070592C">
            <w:pPr>
              <w:pStyle w:val="TableParagraph"/>
              <w:spacing w:before="3"/>
              <w:ind w:left="0"/>
              <w:rPr>
                <w:sz w:val="23"/>
              </w:rPr>
            </w:pPr>
          </w:p>
          <w:p w14:paraId="49E3FB5E" w14:textId="77777777" w:rsidR="0070592C" w:rsidRDefault="00281EBC">
            <w:pPr>
              <w:pStyle w:val="TableParagraph"/>
              <w:spacing w:before="1"/>
              <w:rPr>
                <w:b/>
                <w:sz w:val="21"/>
              </w:rPr>
            </w:pPr>
            <w:r>
              <w:rPr>
                <w:b/>
                <w:sz w:val="21"/>
              </w:rPr>
              <w:t>3</w:t>
            </w:r>
          </w:p>
        </w:tc>
        <w:tc>
          <w:tcPr>
            <w:tcW w:w="8442" w:type="dxa"/>
          </w:tcPr>
          <w:p w14:paraId="4A2F3025" w14:textId="77777777" w:rsidR="0070592C" w:rsidRDefault="00281EBC">
            <w:pPr>
              <w:pStyle w:val="TableParagraph"/>
              <w:spacing w:line="360" w:lineRule="auto"/>
              <w:ind w:left="108" w:right="93"/>
              <w:jc w:val="both"/>
              <w:rPr>
                <w:sz w:val="21"/>
              </w:rPr>
            </w:pPr>
            <w:r>
              <w:rPr>
                <w:b/>
                <w:sz w:val="21"/>
              </w:rPr>
              <w:t xml:space="preserve">Poor </w:t>
            </w:r>
            <w:r>
              <w:rPr>
                <w:sz w:val="21"/>
              </w:rPr>
              <w:t>– 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w:t>
            </w:r>
            <w:r>
              <w:rPr>
                <w:spacing w:val="-17"/>
                <w:sz w:val="21"/>
              </w:rPr>
              <w:t xml:space="preserve"> </w:t>
            </w:r>
            <w:r>
              <w:rPr>
                <w:sz w:val="21"/>
              </w:rPr>
              <w:t>requirement.</w:t>
            </w:r>
          </w:p>
        </w:tc>
      </w:tr>
      <w:tr w:rsidR="0070592C" w14:paraId="2A450DC0" w14:textId="77777777">
        <w:trPr>
          <w:trHeight w:val="964"/>
        </w:trPr>
        <w:tc>
          <w:tcPr>
            <w:tcW w:w="914" w:type="dxa"/>
          </w:tcPr>
          <w:p w14:paraId="1374637C" w14:textId="77777777" w:rsidR="0070592C" w:rsidRDefault="00281EBC">
            <w:pPr>
              <w:pStyle w:val="TableParagraph"/>
              <w:spacing w:before="182"/>
              <w:rPr>
                <w:b/>
                <w:sz w:val="21"/>
              </w:rPr>
            </w:pPr>
            <w:r>
              <w:rPr>
                <w:b/>
                <w:sz w:val="21"/>
              </w:rPr>
              <w:t>0</w:t>
            </w:r>
          </w:p>
        </w:tc>
        <w:tc>
          <w:tcPr>
            <w:tcW w:w="8442" w:type="dxa"/>
          </w:tcPr>
          <w:p w14:paraId="73193CF9" w14:textId="77777777" w:rsidR="0070592C" w:rsidRDefault="00281EBC">
            <w:pPr>
              <w:pStyle w:val="TableParagraph"/>
              <w:spacing w:line="360" w:lineRule="auto"/>
              <w:ind w:left="108" w:right="130"/>
              <w:rPr>
                <w:sz w:val="21"/>
              </w:rPr>
            </w:pPr>
            <w:r>
              <w:rPr>
                <w:b/>
                <w:sz w:val="21"/>
              </w:rPr>
              <w:t xml:space="preserve">Unacceptable </w:t>
            </w:r>
            <w:r>
              <w:rPr>
                <w:sz w:val="21"/>
              </w:rPr>
              <w:t>– The response is non-compliant with the requirements of the RFP and/or no response has been</w:t>
            </w:r>
            <w:r>
              <w:rPr>
                <w:spacing w:val="-6"/>
                <w:sz w:val="21"/>
              </w:rPr>
              <w:t xml:space="preserve"> </w:t>
            </w:r>
            <w:r>
              <w:rPr>
                <w:sz w:val="21"/>
              </w:rPr>
              <w:t>provided.</w:t>
            </w:r>
          </w:p>
        </w:tc>
      </w:tr>
    </w:tbl>
    <w:p w14:paraId="362D4ACE" w14:textId="77777777" w:rsidR="0070592C" w:rsidRDefault="0070592C">
      <w:pPr>
        <w:pStyle w:val="BodyText"/>
        <w:rPr>
          <w:sz w:val="20"/>
        </w:rPr>
      </w:pPr>
    </w:p>
    <w:p w14:paraId="029B8254" w14:textId="77777777" w:rsidR="0070592C" w:rsidRDefault="0070592C">
      <w:pPr>
        <w:pStyle w:val="BodyText"/>
        <w:rPr>
          <w:sz w:val="20"/>
        </w:rPr>
      </w:pPr>
    </w:p>
    <w:p w14:paraId="22E37A8D" w14:textId="77777777" w:rsidR="0070592C" w:rsidRDefault="0070592C">
      <w:pPr>
        <w:pStyle w:val="BodyText"/>
        <w:rPr>
          <w:sz w:val="25"/>
        </w:rPr>
      </w:pPr>
    </w:p>
    <w:p w14:paraId="0BE1493F" w14:textId="77777777" w:rsidR="0070592C" w:rsidRDefault="00281EBC">
      <w:pPr>
        <w:pStyle w:val="ListParagraph"/>
        <w:numPr>
          <w:ilvl w:val="1"/>
          <w:numId w:val="3"/>
        </w:numPr>
        <w:tabs>
          <w:tab w:val="left" w:pos="835"/>
        </w:tabs>
        <w:spacing w:before="94" w:line="360" w:lineRule="auto"/>
        <w:ind w:right="108" w:firstLine="0"/>
        <w:jc w:val="both"/>
        <w:rPr>
          <w:sz w:val="21"/>
        </w:rPr>
      </w:pPr>
      <w:r>
        <w:rPr>
          <w:sz w:val="21"/>
          <w:u w:val="single"/>
        </w:rPr>
        <w:t>Commercial Evaluation</w:t>
      </w:r>
      <w:r>
        <w:rPr>
          <w:sz w:val="21"/>
        </w:rPr>
        <w:t xml:space="preserve"> – Your “Overall Price” (as calculated in accordance with requirements of Annex [</w:t>
      </w:r>
      <w:r>
        <w:rPr>
          <w:sz w:val="21"/>
          <w:shd w:val="clear" w:color="auto" w:fill="FFFF00"/>
        </w:rPr>
        <w:t>4</w:t>
      </w:r>
      <w:r>
        <w:rPr>
          <w:sz w:val="21"/>
        </w:rPr>
        <w:t>] (Pricing Approach)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In</w:t>
      </w:r>
      <w:r>
        <w:rPr>
          <w:spacing w:val="18"/>
          <w:sz w:val="21"/>
        </w:rPr>
        <w:t xml:space="preserve"> </w:t>
      </w:r>
      <w:r>
        <w:rPr>
          <w:sz w:val="21"/>
        </w:rPr>
        <w:t>the</w:t>
      </w:r>
      <w:r>
        <w:rPr>
          <w:spacing w:val="18"/>
          <w:sz w:val="21"/>
        </w:rPr>
        <w:t xml:space="preserve"> </w:t>
      </w:r>
      <w:r>
        <w:rPr>
          <w:sz w:val="21"/>
        </w:rPr>
        <w:t>event</w:t>
      </w:r>
      <w:r>
        <w:rPr>
          <w:spacing w:val="18"/>
          <w:sz w:val="21"/>
        </w:rPr>
        <w:t xml:space="preserve"> </w:t>
      </w:r>
      <w:r>
        <w:rPr>
          <w:sz w:val="21"/>
        </w:rPr>
        <w:t>that</w:t>
      </w:r>
      <w:r>
        <w:rPr>
          <w:spacing w:val="17"/>
          <w:sz w:val="21"/>
        </w:rPr>
        <w:t xml:space="preserve"> </w:t>
      </w:r>
      <w:r>
        <w:rPr>
          <w:sz w:val="21"/>
        </w:rPr>
        <w:t>any</w:t>
      </w:r>
      <w:r>
        <w:rPr>
          <w:spacing w:val="18"/>
          <w:sz w:val="21"/>
        </w:rPr>
        <w:t xml:space="preserve"> </w:t>
      </w:r>
      <w:r>
        <w:rPr>
          <w:sz w:val="21"/>
        </w:rPr>
        <w:t>prices</w:t>
      </w:r>
      <w:r>
        <w:rPr>
          <w:spacing w:val="19"/>
          <w:sz w:val="21"/>
        </w:rPr>
        <w:t xml:space="preserve"> </w:t>
      </w:r>
      <w:r>
        <w:rPr>
          <w:sz w:val="21"/>
        </w:rPr>
        <w:t>are</w:t>
      </w:r>
      <w:r>
        <w:rPr>
          <w:spacing w:val="17"/>
          <w:sz w:val="21"/>
        </w:rPr>
        <w:t xml:space="preserve"> </w:t>
      </w:r>
      <w:r>
        <w:rPr>
          <w:sz w:val="21"/>
        </w:rPr>
        <w:t>expressed</w:t>
      </w:r>
      <w:r>
        <w:rPr>
          <w:spacing w:val="18"/>
          <w:sz w:val="21"/>
        </w:rPr>
        <w:t xml:space="preserve"> </w:t>
      </w:r>
      <w:r>
        <w:rPr>
          <w:sz w:val="21"/>
        </w:rPr>
        <w:t>as</w:t>
      </w:r>
      <w:r>
        <w:rPr>
          <w:spacing w:val="19"/>
          <w:sz w:val="21"/>
        </w:rPr>
        <w:t xml:space="preserve"> </w:t>
      </w:r>
      <w:r>
        <w:rPr>
          <w:sz w:val="21"/>
        </w:rPr>
        <w:t>being</w:t>
      </w:r>
      <w:r>
        <w:rPr>
          <w:spacing w:val="18"/>
          <w:sz w:val="21"/>
        </w:rPr>
        <w:t xml:space="preserve"> </w:t>
      </w:r>
      <w:r>
        <w:rPr>
          <w:sz w:val="21"/>
        </w:rPr>
        <w:t>subject</w:t>
      </w:r>
      <w:r>
        <w:rPr>
          <w:spacing w:val="18"/>
          <w:sz w:val="21"/>
        </w:rPr>
        <w:t xml:space="preserve"> </w:t>
      </w:r>
      <w:r>
        <w:rPr>
          <w:sz w:val="21"/>
        </w:rPr>
        <w:t>to</w:t>
      </w:r>
      <w:r>
        <w:rPr>
          <w:spacing w:val="18"/>
          <w:sz w:val="21"/>
        </w:rPr>
        <w:t xml:space="preserve"> </w:t>
      </w:r>
      <w:r>
        <w:rPr>
          <w:sz w:val="21"/>
        </w:rPr>
        <w:t>any</w:t>
      </w:r>
      <w:r>
        <w:rPr>
          <w:spacing w:val="18"/>
          <w:sz w:val="21"/>
        </w:rPr>
        <w:t xml:space="preserve"> </w:t>
      </w:r>
      <w:r>
        <w:rPr>
          <w:sz w:val="21"/>
        </w:rPr>
        <w:t>pricing</w:t>
      </w:r>
      <w:r>
        <w:rPr>
          <w:spacing w:val="19"/>
          <w:sz w:val="21"/>
        </w:rPr>
        <w:t xml:space="preserve"> </w:t>
      </w:r>
      <w:r>
        <w:rPr>
          <w:sz w:val="21"/>
        </w:rPr>
        <w:t>assumptions,</w:t>
      </w:r>
      <w:r>
        <w:rPr>
          <w:spacing w:val="21"/>
          <w:sz w:val="21"/>
        </w:rPr>
        <w:t xml:space="preserve"> </w:t>
      </w:r>
      <w:r>
        <w:rPr>
          <w:sz w:val="21"/>
        </w:rPr>
        <w:t>qualifications</w:t>
      </w:r>
      <w:r>
        <w:rPr>
          <w:spacing w:val="16"/>
          <w:sz w:val="21"/>
        </w:rPr>
        <w:t xml:space="preserve"> </w:t>
      </w:r>
      <w:r>
        <w:rPr>
          <w:sz w:val="21"/>
        </w:rPr>
        <w:t>or</w:t>
      </w:r>
    </w:p>
    <w:p w14:paraId="5CC3AE15" w14:textId="77777777" w:rsidR="0070592C" w:rsidRDefault="0070592C">
      <w:pPr>
        <w:spacing w:line="360" w:lineRule="auto"/>
        <w:jc w:val="both"/>
        <w:rPr>
          <w:sz w:val="21"/>
        </w:rPr>
        <w:sectPr w:rsidR="0070592C">
          <w:pgSz w:w="11910" w:h="16840"/>
          <w:pgMar w:top="1260" w:right="880" w:bottom="980" w:left="880" w:header="0" w:footer="800" w:gutter="0"/>
          <w:cols w:space="720"/>
        </w:sectPr>
      </w:pPr>
    </w:p>
    <w:p w14:paraId="59FA3E4F" w14:textId="77777777" w:rsidR="0070592C" w:rsidRDefault="00281EBC">
      <w:pPr>
        <w:pStyle w:val="BodyText"/>
        <w:spacing w:before="65" w:line="360" w:lineRule="auto"/>
        <w:ind w:left="113" w:right="108"/>
        <w:jc w:val="both"/>
      </w:pPr>
      <w:r>
        <w:lastRenderedPageBreak/>
        <w:t>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rules. A maximum offer score of 10  will be awarded to the tender response offering the lowest “Overall Price”. Other tender responses will be awarded a mark by application of the following formula: (Lowest Overall Price/Overall Price being evaluated) x 10 (rounded to two decimal places) = commercial</w:t>
      </w:r>
      <w:r>
        <w:rPr>
          <w:spacing w:val="-11"/>
        </w:rPr>
        <w:t xml:space="preserve"> </w:t>
      </w:r>
      <w:r>
        <w:t>score.</w:t>
      </w:r>
    </w:p>
    <w:p w14:paraId="70353F01" w14:textId="77777777" w:rsidR="0070592C" w:rsidRDefault="0070592C">
      <w:pPr>
        <w:pStyle w:val="BodyText"/>
      </w:pPr>
    </w:p>
    <w:p w14:paraId="45BEEF31" w14:textId="77777777" w:rsidR="0070592C" w:rsidRDefault="00281EBC">
      <w:pPr>
        <w:pStyle w:val="ListParagraph"/>
        <w:numPr>
          <w:ilvl w:val="1"/>
          <w:numId w:val="3"/>
        </w:numPr>
        <w:tabs>
          <w:tab w:val="left" w:pos="835"/>
        </w:tabs>
        <w:spacing w:line="360" w:lineRule="auto"/>
        <w:ind w:right="110" w:firstLine="0"/>
        <w:jc w:val="both"/>
        <w:rPr>
          <w:sz w:val="21"/>
        </w:rPr>
      </w:pPr>
      <w:r>
        <w:rPr>
          <w:sz w:val="21"/>
          <w:u w:val="single"/>
        </w:rPr>
        <w:t>Moderation and application of weightings</w:t>
      </w:r>
      <w:r>
        <w:rPr>
          <w:sz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w:t>
      </w:r>
      <w:r>
        <w:rPr>
          <w:spacing w:val="-7"/>
          <w:sz w:val="21"/>
        </w:rPr>
        <w:t xml:space="preserve"> </w:t>
      </w:r>
      <w:r>
        <w:rPr>
          <w:sz w:val="21"/>
        </w:rPr>
        <w:t>100.</w:t>
      </w:r>
    </w:p>
    <w:p w14:paraId="48EAFEF2" w14:textId="77777777" w:rsidR="0070592C" w:rsidRDefault="0070592C">
      <w:pPr>
        <w:pStyle w:val="BodyText"/>
        <w:spacing w:before="9"/>
        <w:rPr>
          <w:sz w:val="20"/>
        </w:rPr>
      </w:pPr>
    </w:p>
    <w:p w14:paraId="7A436313" w14:textId="77777777" w:rsidR="0070592C" w:rsidRDefault="00281EBC">
      <w:pPr>
        <w:pStyle w:val="ListParagraph"/>
        <w:numPr>
          <w:ilvl w:val="1"/>
          <w:numId w:val="3"/>
        </w:numPr>
        <w:tabs>
          <w:tab w:val="left" w:pos="835"/>
        </w:tabs>
        <w:spacing w:line="360" w:lineRule="auto"/>
        <w:ind w:right="106" w:firstLine="0"/>
        <w:jc w:val="both"/>
        <w:rPr>
          <w:sz w:val="21"/>
        </w:rPr>
      </w:pPr>
      <w:r>
        <w:rPr>
          <w:sz w:val="21"/>
          <w:u w:val="single"/>
        </w:rPr>
        <w:t>The winning tender response</w:t>
      </w:r>
      <w:r>
        <w:rPr>
          <w:sz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 certification or other requirements referred to in the Qualification Questionnaire </w:t>
      </w:r>
      <w:r>
        <w:rPr>
          <w:i/>
          <w:sz w:val="21"/>
        </w:rPr>
        <w:t>(if used)</w:t>
      </w:r>
      <w:r>
        <w:rPr>
          <w:sz w:val="21"/>
        </w:rPr>
        <w:t xml:space="preserve">. If any verification evidence requested from a supplier, or a relevant third party as may be referred to by the supplier in the Qualification Questionnaire </w:t>
      </w:r>
      <w:r>
        <w:rPr>
          <w:i/>
          <w:sz w:val="21"/>
        </w:rPr>
        <w:t xml:space="preserve">(if used) </w:t>
      </w:r>
      <w:r>
        <w:rPr>
          <w:sz w:val="21"/>
        </w:rPr>
        <w:t>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w:t>
      </w:r>
      <w:r>
        <w:rPr>
          <w:spacing w:val="-10"/>
          <w:sz w:val="21"/>
        </w:rPr>
        <w:t xml:space="preserve"> </w:t>
      </w:r>
      <w:r>
        <w:rPr>
          <w:sz w:val="21"/>
        </w:rPr>
        <w:t>point.</w:t>
      </w:r>
    </w:p>
    <w:p w14:paraId="063CD5F4" w14:textId="77777777" w:rsidR="0070592C" w:rsidRDefault="0070592C">
      <w:pPr>
        <w:pStyle w:val="BodyText"/>
        <w:spacing w:before="11"/>
        <w:rPr>
          <w:sz w:val="20"/>
        </w:rPr>
      </w:pPr>
    </w:p>
    <w:p w14:paraId="66E8A377" w14:textId="77777777" w:rsidR="0070592C" w:rsidRDefault="00281EBC">
      <w:pPr>
        <w:ind w:left="113"/>
        <w:jc w:val="both"/>
        <w:rPr>
          <w:b/>
          <w:sz w:val="24"/>
        </w:rPr>
      </w:pPr>
      <w:r>
        <w:rPr>
          <w:b/>
          <w:sz w:val="24"/>
          <w:u w:val="thick"/>
        </w:rPr>
        <w:t>List of Annexes forming part of this RFP (issued as separate documents):</w:t>
      </w:r>
    </w:p>
    <w:p w14:paraId="05D4046B" w14:textId="77777777" w:rsidR="0070592C" w:rsidRDefault="0070592C">
      <w:pPr>
        <w:pStyle w:val="BodyText"/>
        <w:rPr>
          <w:b/>
          <w:sz w:val="25"/>
        </w:rPr>
      </w:pPr>
    </w:p>
    <w:p w14:paraId="31BA3DD6" w14:textId="77777777" w:rsidR="0070592C" w:rsidRDefault="00281EBC">
      <w:pPr>
        <w:spacing w:before="92" w:line="568" w:lineRule="auto"/>
        <w:ind w:left="113" w:right="4990"/>
        <w:rPr>
          <w:b/>
          <w:sz w:val="24"/>
        </w:rPr>
      </w:pPr>
      <w:r>
        <w:rPr>
          <w:b/>
          <w:sz w:val="24"/>
        </w:rPr>
        <w:t>Annex 1 - Terms and Conditions of Contract Annex 2 – Qualification Questionnaire Annex 3 – Supplier Response</w:t>
      </w:r>
    </w:p>
    <w:p w14:paraId="50E300B9" w14:textId="77777777" w:rsidR="0070592C" w:rsidRDefault="00281EBC">
      <w:pPr>
        <w:spacing w:line="275" w:lineRule="exact"/>
        <w:ind w:left="113"/>
        <w:rPr>
          <w:b/>
          <w:sz w:val="24"/>
        </w:rPr>
      </w:pPr>
      <w:r>
        <w:rPr>
          <w:b/>
          <w:sz w:val="24"/>
        </w:rPr>
        <w:t>Annex 4 – Pricing Approach</w:t>
      </w:r>
    </w:p>
    <w:sectPr w:rsidR="0070592C">
      <w:pgSz w:w="11910" w:h="16840"/>
      <w:pgMar w:top="1260" w:right="880" w:bottom="980" w:left="88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47FA6" w14:textId="77777777" w:rsidR="0058439A" w:rsidRDefault="00281EBC">
      <w:r>
        <w:separator/>
      </w:r>
    </w:p>
  </w:endnote>
  <w:endnote w:type="continuationSeparator" w:id="0">
    <w:p w14:paraId="2E2F61B8" w14:textId="77777777" w:rsidR="0058439A" w:rsidRDefault="0028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AF9C" w14:textId="77777777" w:rsidR="00281EBC" w:rsidRDefault="00281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1C38" w14:textId="39E041BB" w:rsidR="0070592C" w:rsidRDefault="00281EBC">
    <w:pPr>
      <w:pStyle w:val="BodyText"/>
      <w:spacing w:line="14" w:lineRule="auto"/>
      <w:rPr>
        <w:sz w:val="20"/>
      </w:rPr>
    </w:pPr>
    <w:r>
      <w:rPr>
        <w:noProof/>
      </w:rPr>
      <mc:AlternateContent>
        <mc:Choice Requires="wps">
          <w:drawing>
            <wp:anchor distT="0" distB="0" distL="114300" distR="114300" simplePos="0" relativeHeight="503303936" behindDoc="1" locked="0" layoutInCell="1" allowOverlap="1" wp14:anchorId="12EA361D" wp14:editId="3148332E">
              <wp:simplePos x="0" y="0"/>
              <wp:positionH relativeFrom="page">
                <wp:posOffset>618490</wp:posOffset>
              </wp:positionH>
              <wp:positionV relativeFrom="page">
                <wp:posOffset>10041890</wp:posOffset>
              </wp:positionV>
              <wp:extent cx="908050" cy="139700"/>
              <wp:effectExtent l="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195D3" w14:textId="77777777" w:rsidR="0070592C" w:rsidRDefault="00281EBC">
                          <w:pPr>
                            <w:spacing w:before="15"/>
                            <w:ind w:left="20"/>
                            <w:rPr>
                              <w:sz w:val="16"/>
                            </w:rPr>
                          </w:pPr>
                          <w:r>
                            <w:rPr>
                              <w:sz w:val="16"/>
                            </w:rPr>
                            <w:t>British Council RFP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A361D" id="_x0000_t202" coordsize="21600,21600" o:spt="202" path="m,l,21600r21600,l21600,xe">
              <v:stroke joinstyle="miter"/>
              <v:path gradientshapeok="t" o:connecttype="rect"/>
            </v:shapetype>
            <v:shape id="Text Box 2" o:spid="_x0000_s1026" type="#_x0000_t202" style="position:absolute;margin-left:48.7pt;margin-top:790.7pt;width:71.5pt;height:11pt;z-index:-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" filled="f" stroked="f">
              <v:textbox inset="0,0,0,0">
                <w:txbxContent>
                  <w:p w14:paraId="074195D3" w14:textId="77777777" w:rsidR="0070592C" w:rsidRDefault="00281EBC">
                    <w:pPr>
                      <w:spacing w:before="15"/>
                      <w:ind w:left="20"/>
                      <w:rPr>
                        <w:sz w:val="16"/>
                      </w:rPr>
                    </w:pPr>
                    <w:r>
                      <w:rPr>
                        <w:sz w:val="16"/>
                      </w:rPr>
                      <w:t>British Council RFP</w:t>
                    </w:r>
                  </w:p>
                </w:txbxContent>
              </v:textbox>
              <w10:wrap anchorx="page" anchory="page"/>
            </v:shape>
          </w:pict>
        </mc:Fallback>
      </mc:AlternateContent>
    </w:r>
    <w:r>
      <w:rPr>
        <w:noProof/>
      </w:rPr>
      <mc:AlternateContent>
        <mc:Choice Requires="wps">
          <w:drawing>
            <wp:anchor distT="0" distB="0" distL="114300" distR="114300" simplePos="0" relativeHeight="503303960" behindDoc="1" locked="0" layoutInCell="1" allowOverlap="1" wp14:anchorId="3E2AB3D4" wp14:editId="55028B80">
              <wp:simplePos x="0" y="0"/>
              <wp:positionH relativeFrom="page">
                <wp:posOffset>3500120</wp:posOffset>
              </wp:positionH>
              <wp:positionV relativeFrom="page">
                <wp:posOffset>10042525</wp:posOffset>
              </wp:positionV>
              <wp:extent cx="206375" cy="182245"/>
              <wp:effectExtent l="4445"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AF038" w14:textId="77777777" w:rsidR="0070592C" w:rsidRDefault="00281EBC">
                          <w:pPr>
                            <w:spacing w:before="13"/>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AB3D4" id="Text Box 1" o:spid="_x0000_s1027" type="#_x0000_t202" style="position:absolute;margin-left:275.6pt;margin-top:790.75pt;width:16.25pt;height:14.35pt;z-index:-12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" filled="f" stroked="f">
              <v:textbox inset="0,0,0,0">
                <w:txbxContent>
                  <w:p w14:paraId="565AF038" w14:textId="77777777" w:rsidR="0070592C" w:rsidRDefault="00281EBC">
                    <w:pPr>
                      <w:spacing w:before="13"/>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70121" w14:textId="77777777" w:rsidR="00281EBC" w:rsidRDefault="00281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E2CBD" w14:textId="77777777" w:rsidR="0058439A" w:rsidRDefault="00281EBC">
      <w:r>
        <w:separator/>
      </w:r>
    </w:p>
  </w:footnote>
  <w:footnote w:type="continuationSeparator" w:id="0">
    <w:p w14:paraId="0433B7E1" w14:textId="77777777" w:rsidR="0058439A" w:rsidRDefault="00281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5048B" w14:textId="77777777" w:rsidR="00281EBC" w:rsidRDefault="00281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6FF65" w14:textId="77777777" w:rsidR="00281EBC" w:rsidRDefault="00281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24379" w14:textId="77777777" w:rsidR="00281EBC" w:rsidRDefault="00281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C444D"/>
    <w:multiLevelType w:val="hybridMultilevel"/>
    <w:tmpl w:val="12AA71DE"/>
    <w:lvl w:ilvl="0" w:tplc="ABB6FC84">
      <w:numFmt w:val="bullet"/>
      <w:lvlText w:val="-"/>
      <w:lvlJc w:val="left"/>
      <w:pPr>
        <w:ind w:left="834" w:hanging="360"/>
      </w:pPr>
      <w:rPr>
        <w:rFonts w:ascii="Arial" w:eastAsia="Arial" w:hAnsi="Arial" w:cs="Arial" w:hint="default"/>
        <w:w w:val="100"/>
        <w:sz w:val="21"/>
        <w:szCs w:val="21"/>
        <w:lang w:val="en-GB" w:eastAsia="en-GB" w:bidi="en-GB"/>
      </w:rPr>
    </w:lvl>
    <w:lvl w:ilvl="1" w:tplc="1D2A3AE8">
      <w:numFmt w:val="bullet"/>
      <w:lvlText w:val="•"/>
      <w:lvlJc w:val="left"/>
      <w:pPr>
        <w:ind w:left="1770" w:hanging="360"/>
      </w:pPr>
      <w:rPr>
        <w:rFonts w:hint="default"/>
        <w:lang w:val="en-GB" w:eastAsia="en-GB" w:bidi="en-GB"/>
      </w:rPr>
    </w:lvl>
    <w:lvl w:ilvl="2" w:tplc="5B567532">
      <w:numFmt w:val="bullet"/>
      <w:lvlText w:val="•"/>
      <w:lvlJc w:val="left"/>
      <w:pPr>
        <w:ind w:left="2701" w:hanging="360"/>
      </w:pPr>
      <w:rPr>
        <w:rFonts w:hint="default"/>
        <w:lang w:val="en-GB" w:eastAsia="en-GB" w:bidi="en-GB"/>
      </w:rPr>
    </w:lvl>
    <w:lvl w:ilvl="3" w:tplc="89AC2902">
      <w:numFmt w:val="bullet"/>
      <w:lvlText w:val="•"/>
      <w:lvlJc w:val="left"/>
      <w:pPr>
        <w:ind w:left="3632" w:hanging="360"/>
      </w:pPr>
      <w:rPr>
        <w:rFonts w:hint="default"/>
        <w:lang w:val="en-GB" w:eastAsia="en-GB" w:bidi="en-GB"/>
      </w:rPr>
    </w:lvl>
    <w:lvl w:ilvl="4" w:tplc="8ECA5EFE">
      <w:numFmt w:val="bullet"/>
      <w:lvlText w:val="•"/>
      <w:lvlJc w:val="left"/>
      <w:pPr>
        <w:ind w:left="4563" w:hanging="360"/>
      </w:pPr>
      <w:rPr>
        <w:rFonts w:hint="default"/>
        <w:lang w:val="en-GB" w:eastAsia="en-GB" w:bidi="en-GB"/>
      </w:rPr>
    </w:lvl>
    <w:lvl w:ilvl="5" w:tplc="B5AE5FCA">
      <w:numFmt w:val="bullet"/>
      <w:lvlText w:val="•"/>
      <w:lvlJc w:val="left"/>
      <w:pPr>
        <w:ind w:left="5494" w:hanging="360"/>
      </w:pPr>
      <w:rPr>
        <w:rFonts w:hint="default"/>
        <w:lang w:val="en-GB" w:eastAsia="en-GB" w:bidi="en-GB"/>
      </w:rPr>
    </w:lvl>
    <w:lvl w:ilvl="6" w:tplc="4F1A296A">
      <w:numFmt w:val="bullet"/>
      <w:lvlText w:val="•"/>
      <w:lvlJc w:val="left"/>
      <w:pPr>
        <w:ind w:left="6425" w:hanging="360"/>
      </w:pPr>
      <w:rPr>
        <w:rFonts w:hint="default"/>
        <w:lang w:val="en-GB" w:eastAsia="en-GB" w:bidi="en-GB"/>
      </w:rPr>
    </w:lvl>
    <w:lvl w:ilvl="7" w:tplc="55AE69FE">
      <w:numFmt w:val="bullet"/>
      <w:lvlText w:val="•"/>
      <w:lvlJc w:val="left"/>
      <w:pPr>
        <w:ind w:left="7356" w:hanging="360"/>
      </w:pPr>
      <w:rPr>
        <w:rFonts w:hint="default"/>
        <w:lang w:val="en-GB" w:eastAsia="en-GB" w:bidi="en-GB"/>
      </w:rPr>
    </w:lvl>
    <w:lvl w:ilvl="8" w:tplc="B1302420">
      <w:numFmt w:val="bullet"/>
      <w:lvlText w:val="•"/>
      <w:lvlJc w:val="left"/>
      <w:pPr>
        <w:ind w:left="8287" w:hanging="360"/>
      </w:pPr>
      <w:rPr>
        <w:rFonts w:hint="default"/>
        <w:lang w:val="en-GB" w:eastAsia="en-GB" w:bidi="en-GB"/>
      </w:rPr>
    </w:lvl>
  </w:abstractNum>
  <w:abstractNum w:abstractNumId="1" w15:restartNumberingAfterBreak="0">
    <w:nsid w:val="13D21028"/>
    <w:multiLevelType w:val="hybridMultilevel"/>
    <w:tmpl w:val="EA186396"/>
    <w:lvl w:ilvl="0" w:tplc="D8B06AEA">
      <w:numFmt w:val="bullet"/>
      <w:lvlText w:val="-"/>
      <w:lvlJc w:val="left"/>
      <w:pPr>
        <w:ind w:left="834" w:hanging="360"/>
      </w:pPr>
      <w:rPr>
        <w:rFonts w:ascii="Arial" w:eastAsia="Arial" w:hAnsi="Arial" w:cs="Arial" w:hint="default"/>
        <w:w w:val="100"/>
        <w:sz w:val="21"/>
        <w:szCs w:val="21"/>
        <w:lang w:val="en-GB" w:eastAsia="en-GB" w:bidi="en-GB"/>
      </w:rPr>
    </w:lvl>
    <w:lvl w:ilvl="1" w:tplc="1EF4CD4C">
      <w:numFmt w:val="bullet"/>
      <w:lvlText w:val="•"/>
      <w:lvlJc w:val="left"/>
      <w:pPr>
        <w:ind w:left="1770" w:hanging="360"/>
      </w:pPr>
      <w:rPr>
        <w:rFonts w:hint="default"/>
        <w:lang w:val="en-GB" w:eastAsia="en-GB" w:bidi="en-GB"/>
      </w:rPr>
    </w:lvl>
    <w:lvl w:ilvl="2" w:tplc="6A78DD34">
      <w:numFmt w:val="bullet"/>
      <w:lvlText w:val="•"/>
      <w:lvlJc w:val="left"/>
      <w:pPr>
        <w:ind w:left="2701" w:hanging="360"/>
      </w:pPr>
      <w:rPr>
        <w:rFonts w:hint="default"/>
        <w:lang w:val="en-GB" w:eastAsia="en-GB" w:bidi="en-GB"/>
      </w:rPr>
    </w:lvl>
    <w:lvl w:ilvl="3" w:tplc="D5E41870">
      <w:numFmt w:val="bullet"/>
      <w:lvlText w:val="•"/>
      <w:lvlJc w:val="left"/>
      <w:pPr>
        <w:ind w:left="3632" w:hanging="360"/>
      </w:pPr>
      <w:rPr>
        <w:rFonts w:hint="default"/>
        <w:lang w:val="en-GB" w:eastAsia="en-GB" w:bidi="en-GB"/>
      </w:rPr>
    </w:lvl>
    <w:lvl w:ilvl="4" w:tplc="CB6A5A40">
      <w:numFmt w:val="bullet"/>
      <w:lvlText w:val="•"/>
      <w:lvlJc w:val="left"/>
      <w:pPr>
        <w:ind w:left="4563" w:hanging="360"/>
      </w:pPr>
      <w:rPr>
        <w:rFonts w:hint="default"/>
        <w:lang w:val="en-GB" w:eastAsia="en-GB" w:bidi="en-GB"/>
      </w:rPr>
    </w:lvl>
    <w:lvl w:ilvl="5" w:tplc="CF9E7D2E">
      <w:numFmt w:val="bullet"/>
      <w:lvlText w:val="•"/>
      <w:lvlJc w:val="left"/>
      <w:pPr>
        <w:ind w:left="5494" w:hanging="360"/>
      </w:pPr>
      <w:rPr>
        <w:rFonts w:hint="default"/>
        <w:lang w:val="en-GB" w:eastAsia="en-GB" w:bidi="en-GB"/>
      </w:rPr>
    </w:lvl>
    <w:lvl w:ilvl="6" w:tplc="DE1C6A56">
      <w:numFmt w:val="bullet"/>
      <w:lvlText w:val="•"/>
      <w:lvlJc w:val="left"/>
      <w:pPr>
        <w:ind w:left="6425" w:hanging="360"/>
      </w:pPr>
      <w:rPr>
        <w:rFonts w:hint="default"/>
        <w:lang w:val="en-GB" w:eastAsia="en-GB" w:bidi="en-GB"/>
      </w:rPr>
    </w:lvl>
    <w:lvl w:ilvl="7" w:tplc="E7227EDA">
      <w:numFmt w:val="bullet"/>
      <w:lvlText w:val="•"/>
      <w:lvlJc w:val="left"/>
      <w:pPr>
        <w:ind w:left="7356" w:hanging="360"/>
      </w:pPr>
      <w:rPr>
        <w:rFonts w:hint="default"/>
        <w:lang w:val="en-GB" w:eastAsia="en-GB" w:bidi="en-GB"/>
      </w:rPr>
    </w:lvl>
    <w:lvl w:ilvl="8" w:tplc="01240798">
      <w:numFmt w:val="bullet"/>
      <w:lvlText w:val="•"/>
      <w:lvlJc w:val="left"/>
      <w:pPr>
        <w:ind w:left="8287" w:hanging="360"/>
      </w:pPr>
      <w:rPr>
        <w:rFonts w:hint="default"/>
        <w:lang w:val="en-GB" w:eastAsia="en-GB" w:bidi="en-GB"/>
      </w:rPr>
    </w:lvl>
  </w:abstractNum>
  <w:abstractNum w:abstractNumId="2" w15:restartNumberingAfterBreak="0">
    <w:nsid w:val="3645421B"/>
    <w:multiLevelType w:val="hybridMultilevel"/>
    <w:tmpl w:val="83329DF2"/>
    <w:lvl w:ilvl="0" w:tplc="E7985318">
      <w:start w:val="1"/>
      <w:numFmt w:val="decimal"/>
      <w:lvlText w:val="%1"/>
      <w:lvlJc w:val="left"/>
      <w:pPr>
        <w:ind w:left="834" w:hanging="721"/>
        <w:jc w:val="left"/>
      </w:pPr>
      <w:rPr>
        <w:rFonts w:ascii="Arial" w:eastAsia="Arial" w:hAnsi="Arial" w:cs="Arial" w:hint="default"/>
        <w:b/>
        <w:bCs/>
        <w:w w:val="99"/>
        <w:sz w:val="24"/>
        <w:szCs w:val="24"/>
        <w:lang w:val="en-GB" w:eastAsia="en-GB" w:bidi="en-GB"/>
      </w:rPr>
    </w:lvl>
    <w:lvl w:ilvl="1" w:tplc="258E0A68">
      <w:start w:val="1"/>
      <w:numFmt w:val="decimal"/>
      <w:lvlText w:val="%1.%2"/>
      <w:lvlJc w:val="left"/>
      <w:pPr>
        <w:ind w:left="834" w:hanging="721"/>
        <w:jc w:val="left"/>
      </w:pPr>
      <w:rPr>
        <w:rFonts w:hint="default"/>
        <w:b/>
        <w:bCs/>
        <w:spacing w:val="-1"/>
        <w:w w:val="100"/>
        <w:lang w:val="en-GB" w:eastAsia="en-GB" w:bidi="en-GB"/>
      </w:rPr>
    </w:lvl>
    <w:lvl w:ilvl="2" w:tplc="A05A0DF4">
      <w:start w:val="1"/>
      <w:numFmt w:val="decimal"/>
      <w:lvlText w:val="%1.%2.%3"/>
      <w:lvlJc w:val="left"/>
      <w:pPr>
        <w:ind w:left="113" w:hanging="721"/>
        <w:jc w:val="left"/>
      </w:pPr>
      <w:rPr>
        <w:rFonts w:ascii="Arial" w:eastAsia="Arial" w:hAnsi="Arial" w:cs="Arial" w:hint="default"/>
        <w:spacing w:val="-1"/>
        <w:w w:val="100"/>
        <w:sz w:val="21"/>
        <w:szCs w:val="21"/>
        <w:lang w:val="en-GB" w:eastAsia="en-GB" w:bidi="en-GB"/>
      </w:rPr>
    </w:lvl>
    <w:lvl w:ilvl="3" w:tplc="ADF2AFFC">
      <w:numFmt w:val="bullet"/>
      <w:lvlText w:val="•"/>
      <w:lvlJc w:val="left"/>
      <w:pPr>
        <w:ind w:left="2908" w:hanging="721"/>
      </w:pPr>
      <w:rPr>
        <w:rFonts w:hint="default"/>
        <w:lang w:val="en-GB" w:eastAsia="en-GB" w:bidi="en-GB"/>
      </w:rPr>
    </w:lvl>
    <w:lvl w:ilvl="4" w:tplc="D8386E02">
      <w:numFmt w:val="bullet"/>
      <w:lvlText w:val="•"/>
      <w:lvlJc w:val="left"/>
      <w:pPr>
        <w:ind w:left="3942" w:hanging="721"/>
      </w:pPr>
      <w:rPr>
        <w:rFonts w:hint="default"/>
        <w:lang w:val="en-GB" w:eastAsia="en-GB" w:bidi="en-GB"/>
      </w:rPr>
    </w:lvl>
    <w:lvl w:ilvl="5" w:tplc="B2642B48">
      <w:numFmt w:val="bullet"/>
      <w:lvlText w:val="•"/>
      <w:lvlJc w:val="left"/>
      <w:pPr>
        <w:ind w:left="4977" w:hanging="721"/>
      </w:pPr>
      <w:rPr>
        <w:rFonts w:hint="default"/>
        <w:lang w:val="en-GB" w:eastAsia="en-GB" w:bidi="en-GB"/>
      </w:rPr>
    </w:lvl>
    <w:lvl w:ilvl="6" w:tplc="AF06F546">
      <w:numFmt w:val="bullet"/>
      <w:lvlText w:val="•"/>
      <w:lvlJc w:val="left"/>
      <w:pPr>
        <w:ind w:left="6011" w:hanging="721"/>
      </w:pPr>
      <w:rPr>
        <w:rFonts w:hint="default"/>
        <w:lang w:val="en-GB" w:eastAsia="en-GB" w:bidi="en-GB"/>
      </w:rPr>
    </w:lvl>
    <w:lvl w:ilvl="7" w:tplc="12E05EC8">
      <w:numFmt w:val="bullet"/>
      <w:lvlText w:val="•"/>
      <w:lvlJc w:val="left"/>
      <w:pPr>
        <w:ind w:left="7045" w:hanging="721"/>
      </w:pPr>
      <w:rPr>
        <w:rFonts w:hint="default"/>
        <w:lang w:val="en-GB" w:eastAsia="en-GB" w:bidi="en-GB"/>
      </w:rPr>
    </w:lvl>
    <w:lvl w:ilvl="8" w:tplc="B0600A00">
      <w:numFmt w:val="bullet"/>
      <w:lvlText w:val="•"/>
      <w:lvlJc w:val="left"/>
      <w:pPr>
        <w:ind w:left="8080" w:hanging="721"/>
      </w:pPr>
      <w:rPr>
        <w:rFonts w:hint="default"/>
        <w:lang w:val="en-GB" w:eastAsia="en-GB" w:bidi="en-GB"/>
      </w:rPr>
    </w:lvl>
  </w:abstractNum>
  <w:abstractNum w:abstractNumId="3" w15:restartNumberingAfterBreak="0">
    <w:nsid w:val="488E3CA7"/>
    <w:multiLevelType w:val="hybridMultilevel"/>
    <w:tmpl w:val="32F89D5A"/>
    <w:lvl w:ilvl="0" w:tplc="08ECB466">
      <w:start w:val="3"/>
      <w:numFmt w:val="decimal"/>
      <w:lvlText w:val="%1"/>
      <w:lvlJc w:val="left"/>
      <w:pPr>
        <w:ind w:left="834" w:hanging="721"/>
        <w:jc w:val="left"/>
      </w:pPr>
      <w:rPr>
        <w:rFonts w:hint="default"/>
        <w:lang w:val="en-GB" w:eastAsia="en-GB" w:bidi="en-GB"/>
      </w:rPr>
    </w:lvl>
    <w:lvl w:ilvl="1" w:tplc="2B3E48AE">
      <w:start w:val="3"/>
      <w:numFmt w:val="decimal"/>
      <w:lvlText w:val="%1.%2"/>
      <w:lvlJc w:val="left"/>
      <w:pPr>
        <w:ind w:left="834" w:hanging="721"/>
        <w:jc w:val="left"/>
      </w:pPr>
      <w:rPr>
        <w:rFonts w:hint="default"/>
        <w:b/>
        <w:bCs/>
        <w:spacing w:val="-1"/>
        <w:w w:val="100"/>
        <w:lang w:val="en-GB" w:eastAsia="en-GB" w:bidi="en-GB"/>
      </w:rPr>
    </w:lvl>
    <w:lvl w:ilvl="2" w:tplc="88BE88B0">
      <w:start w:val="1"/>
      <w:numFmt w:val="decimal"/>
      <w:lvlText w:val="%1.%2.%3"/>
      <w:lvlJc w:val="left"/>
      <w:pPr>
        <w:ind w:left="113" w:hanging="721"/>
        <w:jc w:val="left"/>
      </w:pPr>
      <w:rPr>
        <w:rFonts w:ascii="Arial" w:eastAsia="Arial" w:hAnsi="Arial" w:cs="Arial" w:hint="default"/>
        <w:spacing w:val="-1"/>
        <w:w w:val="100"/>
        <w:sz w:val="21"/>
        <w:szCs w:val="21"/>
        <w:lang w:val="en-GB" w:eastAsia="en-GB" w:bidi="en-GB"/>
      </w:rPr>
    </w:lvl>
    <w:lvl w:ilvl="3" w:tplc="44DC3E38">
      <w:numFmt w:val="bullet"/>
      <w:lvlText w:val=""/>
      <w:lvlJc w:val="left"/>
      <w:pPr>
        <w:ind w:left="834" w:hanging="360"/>
      </w:pPr>
      <w:rPr>
        <w:rFonts w:ascii="Symbol" w:eastAsia="Symbol" w:hAnsi="Symbol" w:cs="Symbol" w:hint="default"/>
        <w:w w:val="100"/>
        <w:sz w:val="21"/>
        <w:szCs w:val="21"/>
        <w:lang w:val="en-GB" w:eastAsia="en-GB" w:bidi="en-GB"/>
      </w:rPr>
    </w:lvl>
    <w:lvl w:ilvl="4" w:tplc="34E0DFD4">
      <w:numFmt w:val="bullet"/>
      <w:lvlText w:val="•"/>
      <w:lvlJc w:val="left"/>
      <w:pPr>
        <w:ind w:left="3942" w:hanging="360"/>
      </w:pPr>
      <w:rPr>
        <w:rFonts w:hint="default"/>
        <w:lang w:val="en-GB" w:eastAsia="en-GB" w:bidi="en-GB"/>
      </w:rPr>
    </w:lvl>
    <w:lvl w:ilvl="5" w:tplc="778224E8">
      <w:numFmt w:val="bullet"/>
      <w:lvlText w:val="•"/>
      <w:lvlJc w:val="left"/>
      <w:pPr>
        <w:ind w:left="4977" w:hanging="360"/>
      </w:pPr>
      <w:rPr>
        <w:rFonts w:hint="default"/>
        <w:lang w:val="en-GB" w:eastAsia="en-GB" w:bidi="en-GB"/>
      </w:rPr>
    </w:lvl>
    <w:lvl w:ilvl="6" w:tplc="1DB65A5E">
      <w:numFmt w:val="bullet"/>
      <w:lvlText w:val="•"/>
      <w:lvlJc w:val="left"/>
      <w:pPr>
        <w:ind w:left="6011" w:hanging="360"/>
      </w:pPr>
      <w:rPr>
        <w:rFonts w:hint="default"/>
        <w:lang w:val="en-GB" w:eastAsia="en-GB" w:bidi="en-GB"/>
      </w:rPr>
    </w:lvl>
    <w:lvl w:ilvl="7" w:tplc="1E700C5C">
      <w:numFmt w:val="bullet"/>
      <w:lvlText w:val="•"/>
      <w:lvlJc w:val="left"/>
      <w:pPr>
        <w:ind w:left="7045" w:hanging="360"/>
      </w:pPr>
      <w:rPr>
        <w:rFonts w:hint="default"/>
        <w:lang w:val="en-GB" w:eastAsia="en-GB" w:bidi="en-GB"/>
      </w:rPr>
    </w:lvl>
    <w:lvl w:ilvl="8" w:tplc="81A62096">
      <w:numFmt w:val="bullet"/>
      <w:lvlText w:val="•"/>
      <w:lvlJc w:val="left"/>
      <w:pPr>
        <w:ind w:left="8080" w:hanging="360"/>
      </w:pPr>
      <w:rPr>
        <w:rFonts w:hint="default"/>
        <w:lang w:val="en-GB" w:eastAsia="en-GB" w:bidi="en-GB"/>
      </w:rPr>
    </w:lvl>
  </w:abstractNum>
  <w:abstractNum w:abstractNumId="4" w15:restartNumberingAfterBreak="0">
    <w:nsid w:val="639C168E"/>
    <w:multiLevelType w:val="hybridMultilevel"/>
    <w:tmpl w:val="D8D8825C"/>
    <w:lvl w:ilvl="0" w:tplc="7D6E71A8">
      <w:start w:val="4"/>
      <w:numFmt w:val="decimal"/>
      <w:lvlText w:val="%1"/>
      <w:lvlJc w:val="left"/>
      <w:pPr>
        <w:ind w:left="113" w:hanging="721"/>
        <w:jc w:val="right"/>
      </w:pPr>
      <w:rPr>
        <w:rFonts w:hint="default"/>
        <w:lang w:val="en-GB" w:eastAsia="en-GB" w:bidi="en-GB"/>
      </w:rPr>
    </w:lvl>
    <w:lvl w:ilvl="1" w:tplc="D4E6015C">
      <w:start w:val="1"/>
      <w:numFmt w:val="decimal"/>
      <w:lvlText w:val="%1.%2"/>
      <w:lvlJc w:val="left"/>
      <w:pPr>
        <w:ind w:left="113" w:hanging="721"/>
        <w:jc w:val="left"/>
      </w:pPr>
      <w:rPr>
        <w:rFonts w:ascii="Arial" w:eastAsia="Arial" w:hAnsi="Arial" w:cs="Arial" w:hint="default"/>
        <w:spacing w:val="-1"/>
        <w:w w:val="100"/>
        <w:sz w:val="21"/>
        <w:szCs w:val="21"/>
        <w:lang w:val="en-GB" w:eastAsia="en-GB" w:bidi="en-GB"/>
      </w:rPr>
    </w:lvl>
    <w:lvl w:ilvl="2" w:tplc="90DCDA8E">
      <w:numFmt w:val="bullet"/>
      <w:lvlText w:val=""/>
      <w:lvlJc w:val="left"/>
      <w:pPr>
        <w:ind w:left="834" w:hanging="360"/>
      </w:pPr>
      <w:rPr>
        <w:rFonts w:ascii="Symbol" w:eastAsia="Symbol" w:hAnsi="Symbol" w:cs="Symbol" w:hint="default"/>
        <w:w w:val="100"/>
        <w:sz w:val="21"/>
        <w:szCs w:val="21"/>
        <w:lang w:val="en-GB" w:eastAsia="en-GB" w:bidi="en-GB"/>
      </w:rPr>
    </w:lvl>
    <w:lvl w:ilvl="3" w:tplc="2990CA72">
      <w:numFmt w:val="bullet"/>
      <w:lvlText w:val="•"/>
      <w:lvlJc w:val="left"/>
      <w:pPr>
        <w:ind w:left="2908" w:hanging="360"/>
      </w:pPr>
      <w:rPr>
        <w:rFonts w:hint="default"/>
        <w:lang w:val="en-GB" w:eastAsia="en-GB" w:bidi="en-GB"/>
      </w:rPr>
    </w:lvl>
    <w:lvl w:ilvl="4" w:tplc="2884CB40">
      <w:numFmt w:val="bullet"/>
      <w:lvlText w:val="•"/>
      <w:lvlJc w:val="left"/>
      <w:pPr>
        <w:ind w:left="3942" w:hanging="360"/>
      </w:pPr>
      <w:rPr>
        <w:rFonts w:hint="default"/>
        <w:lang w:val="en-GB" w:eastAsia="en-GB" w:bidi="en-GB"/>
      </w:rPr>
    </w:lvl>
    <w:lvl w:ilvl="5" w:tplc="07F0DA34">
      <w:numFmt w:val="bullet"/>
      <w:lvlText w:val="•"/>
      <w:lvlJc w:val="left"/>
      <w:pPr>
        <w:ind w:left="4977" w:hanging="360"/>
      </w:pPr>
      <w:rPr>
        <w:rFonts w:hint="default"/>
        <w:lang w:val="en-GB" w:eastAsia="en-GB" w:bidi="en-GB"/>
      </w:rPr>
    </w:lvl>
    <w:lvl w:ilvl="6" w:tplc="B5C86C6A">
      <w:numFmt w:val="bullet"/>
      <w:lvlText w:val="•"/>
      <w:lvlJc w:val="left"/>
      <w:pPr>
        <w:ind w:left="6011" w:hanging="360"/>
      </w:pPr>
      <w:rPr>
        <w:rFonts w:hint="default"/>
        <w:lang w:val="en-GB" w:eastAsia="en-GB" w:bidi="en-GB"/>
      </w:rPr>
    </w:lvl>
    <w:lvl w:ilvl="7" w:tplc="A4E680FA">
      <w:numFmt w:val="bullet"/>
      <w:lvlText w:val="•"/>
      <w:lvlJc w:val="left"/>
      <w:pPr>
        <w:ind w:left="7045" w:hanging="360"/>
      </w:pPr>
      <w:rPr>
        <w:rFonts w:hint="default"/>
        <w:lang w:val="en-GB" w:eastAsia="en-GB" w:bidi="en-GB"/>
      </w:rPr>
    </w:lvl>
    <w:lvl w:ilvl="8" w:tplc="67301484">
      <w:numFmt w:val="bullet"/>
      <w:lvlText w:val="•"/>
      <w:lvlJc w:val="left"/>
      <w:pPr>
        <w:ind w:left="8080" w:hanging="360"/>
      </w:pPr>
      <w:rPr>
        <w:rFonts w:hint="default"/>
        <w:lang w:val="en-GB" w:eastAsia="en-GB" w:bidi="en-GB"/>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2C"/>
    <w:rsid w:val="00281EBC"/>
    <w:rsid w:val="0058439A"/>
    <w:rsid w:val="0070592C"/>
    <w:rsid w:val="007A2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E9987"/>
  <w15:docId w15:val="{0F40F144-DF9E-4C88-B77E-8A9FCDAD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834" w:hanging="721"/>
      <w:outlineLvl w:val="0"/>
    </w:pPr>
    <w:rPr>
      <w:b/>
      <w:bCs/>
      <w:sz w:val="24"/>
      <w:szCs w:val="24"/>
    </w:rPr>
  </w:style>
  <w:style w:type="paragraph" w:styleId="Heading2">
    <w:name w:val="heading 2"/>
    <w:basedOn w:val="Normal"/>
    <w:uiPriority w:val="9"/>
    <w:unhideWhenUsed/>
    <w:qFormat/>
    <w:pPr>
      <w:ind w:left="834" w:hanging="721"/>
      <w:jc w:val="both"/>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34"/>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81EBC"/>
    <w:pPr>
      <w:tabs>
        <w:tab w:val="center" w:pos="4677"/>
        <w:tab w:val="right" w:pos="9355"/>
      </w:tabs>
    </w:pPr>
  </w:style>
  <w:style w:type="character" w:customStyle="1" w:styleId="HeaderChar">
    <w:name w:val="Header Char"/>
    <w:basedOn w:val="DefaultParagraphFont"/>
    <w:link w:val="Header"/>
    <w:uiPriority w:val="99"/>
    <w:rsid w:val="00281EBC"/>
    <w:rPr>
      <w:rFonts w:ascii="Arial" w:eastAsia="Arial" w:hAnsi="Arial" w:cs="Arial"/>
      <w:lang w:val="en-GB" w:eastAsia="en-GB" w:bidi="en-GB"/>
    </w:rPr>
  </w:style>
  <w:style w:type="paragraph" w:styleId="Footer">
    <w:name w:val="footer"/>
    <w:basedOn w:val="Normal"/>
    <w:link w:val="FooterChar"/>
    <w:uiPriority w:val="99"/>
    <w:unhideWhenUsed/>
    <w:rsid w:val="00281EBC"/>
    <w:pPr>
      <w:tabs>
        <w:tab w:val="center" w:pos="4677"/>
        <w:tab w:val="right" w:pos="9355"/>
      </w:tabs>
    </w:pPr>
  </w:style>
  <w:style w:type="character" w:customStyle="1" w:styleId="FooterChar">
    <w:name w:val="Footer Char"/>
    <w:basedOn w:val="DefaultParagraphFont"/>
    <w:link w:val="Footer"/>
    <w:uiPriority w:val="99"/>
    <w:rsid w:val="00281EBC"/>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britishcouncil.org/" TargetMode="External"/><Relationship Id="rId13" Type="http://schemas.openxmlformats.org/officeDocument/2006/relationships/footer" Target="footer2.xml"/><Relationship Id="rId18" Type="http://schemas.openxmlformats.org/officeDocument/2006/relationships/hyperlink" Target="mailto:jamilya.gulyamova@britishcouncil.org" TargetMode="External"/><Relationship Id="rId3" Type="http://schemas.openxmlformats.org/officeDocument/2006/relationships/settings" Target="settings.xml"/><Relationship Id="rId21" Type="http://schemas.openxmlformats.org/officeDocument/2006/relationships/hyperlink" Target="mailto:jamilya.gulyamova@britishcouncil.uz"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britishcouncil.org/organisation/transparency/polici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ritishcouncil.org/organisation/structure/status" TargetMode="External"/><Relationship Id="rId20" Type="http://schemas.openxmlformats.org/officeDocument/2006/relationships/hyperlink" Target="mailto:jamilya.gulyamova@britishcounci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jamilya.gulyamova@britishcouncil.uz" TargetMode="External"/><Relationship Id="rId10" Type="http://schemas.openxmlformats.org/officeDocument/2006/relationships/header" Target="header1.xml"/><Relationship Id="rId19" Type="http://schemas.openxmlformats.org/officeDocument/2006/relationships/hyperlink" Target="mailto:Jamilya.gulyamova@britishcouncil.uz" TargetMode="External"/><Relationship Id="rId4" Type="http://schemas.openxmlformats.org/officeDocument/2006/relationships/webSettings" Target="webSettings.xml"/><Relationship Id="rId9" Type="http://schemas.openxmlformats.org/officeDocument/2006/relationships/hyperlink" Target="https://www.britishcouncil.uz/en/teach/english-medium-instruction" TargetMode="External"/><Relationship Id="rId14" Type="http://schemas.openxmlformats.org/officeDocument/2006/relationships/header" Target="header3.xml"/><Relationship Id="rId22" Type="http://schemas.openxmlformats.org/officeDocument/2006/relationships/hyperlink" Target="mailto:jamilya.gulyamova@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5304</Words>
  <Characters>30235</Characters>
  <Application>Microsoft Office Word</Application>
  <DocSecurity>4</DocSecurity>
  <Lines>251</Lines>
  <Paragraphs>70</Paragraphs>
  <ScaleCrop>false</ScaleCrop>
  <Company/>
  <LinksUpToDate>false</LinksUpToDate>
  <CharactersWithSpaces>35469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Chaudary, Asad (Corporate Services)</dc:creator>
  <cp:lastModifiedBy>Gulyamova, Jamilya (Uzbekistan)</cp:lastModifiedBy>
  <cp:revision>2</cp:revision>
  <dcterms:created xsi:type="dcterms:W3CDTF">2021-11-23T13:12:00Z</dcterms:created>
  <dcterms:modified xsi:type="dcterms:W3CDTF">2021-11-23T13:12:00Z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for Microsoft 365</vt:lpwstr>
  </property>
  <property fmtid="{D5CDD505-2E9C-101B-9397-08002B2CF9AE}" pid="4" name="LastSaved">
    <vt:filetime>2021-11-19T00:00:00Z</vt:filetime>
  </property>
</Properties>
</file>