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08F0" w14:textId="51639B1E" w:rsidR="000171EB" w:rsidRPr="00381494" w:rsidRDefault="00473FE6" w:rsidP="00C17F56">
      <w:pPr>
        <w:pStyle w:val="CoverA"/>
      </w:pPr>
      <w:r w:rsidRPr="00381494">
        <w:rPr>
          <w:noProof/>
          <w:color w:val="FFFFFF" w:themeColor="background1"/>
        </w:rPr>
        <mc:AlternateContent>
          <mc:Choice Requires="wps">
            <w:drawing>
              <wp:anchor distT="0" distB="0" distL="114300" distR="114300" simplePos="0" relativeHeight="251661311" behindDoc="0" locked="0" layoutInCell="1" allowOverlap="0" wp14:anchorId="7B0CB619" wp14:editId="0C43A123">
                <wp:simplePos x="0" y="0"/>
                <wp:positionH relativeFrom="column">
                  <wp:posOffset>6985</wp:posOffset>
                </wp:positionH>
                <wp:positionV relativeFrom="paragraph">
                  <wp:posOffset>930275</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85FDEB"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3.25pt" to="39.9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" o:allowoverlap="f" strokecolor="#230859 [3215]" strokeweight="3pt">
                <v:stroke endcap="round"/>
                <w10:wrap type="through"/>
              </v:line>
            </w:pict>
          </mc:Fallback>
        </mc:AlternateContent>
      </w:r>
      <w:r w:rsidR="0038083F">
        <w:t xml:space="preserve">Next Generation </w:t>
      </w:r>
      <w:r w:rsidR="00DF4FAB">
        <w:t>Albania</w:t>
      </w:r>
    </w:p>
    <w:p w14:paraId="6F32DD9E" w14:textId="08CCC5C9" w:rsidR="003140C7" w:rsidRDefault="0038083F" w:rsidP="0038083F">
      <w:pPr>
        <w:pStyle w:val="CoverTitle"/>
        <w:spacing w:after="0"/>
      </w:pPr>
      <w:r>
        <w:t xml:space="preserve">Request for Proposal </w:t>
      </w:r>
    </w:p>
    <w:p w14:paraId="053F977C" w14:textId="77777777" w:rsidR="00954B89" w:rsidRDefault="0038083F" w:rsidP="00954B89">
      <w:pPr>
        <w:pStyle w:val="Default"/>
        <w:spacing w:line="360" w:lineRule="auto"/>
        <w:rPr>
          <w:b/>
          <w:bCs/>
          <w:i/>
          <w:iCs/>
          <w:sz w:val="23"/>
          <w:szCs w:val="23"/>
        </w:rPr>
      </w:pPr>
      <w:r w:rsidRPr="00473FE6">
        <w:rPr>
          <w:i/>
          <w:iCs/>
          <w:sz w:val="23"/>
          <w:szCs w:val="23"/>
        </w:rPr>
        <w:t>Please note that this is a summarised version of the Request for Proposals (RfP). To access the full version and supporting document, please go to the ‘how to apply’ section.</w:t>
      </w:r>
      <w:r w:rsidRPr="0038083F">
        <w:rPr>
          <w:b/>
          <w:bCs/>
          <w:i/>
          <w:iCs/>
          <w:sz w:val="23"/>
          <w:szCs w:val="23"/>
        </w:rPr>
        <w:t xml:space="preserve"> </w:t>
      </w:r>
    </w:p>
    <w:p w14:paraId="52187A10" w14:textId="77777777" w:rsidR="00954B89" w:rsidRDefault="00954B89" w:rsidP="00954B89">
      <w:pPr>
        <w:pStyle w:val="Default"/>
        <w:spacing w:line="360" w:lineRule="auto"/>
        <w:rPr>
          <w:b/>
          <w:bCs/>
          <w:i/>
          <w:iCs/>
          <w:sz w:val="23"/>
          <w:szCs w:val="23"/>
        </w:rPr>
      </w:pPr>
    </w:p>
    <w:p w14:paraId="78F95319" w14:textId="100F8B5C" w:rsidR="0038083F" w:rsidRPr="00954B89" w:rsidRDefault="0038083F" w:rsidP="00A35BA7">
      <w:pPr>
        <w:pStyle w:val="Default"/>
        <w:spacing w:line="360" w:lineRule="auto"/>
        <w:rPr>
          <w:b/>
          <w:bCs/>
          <w:i/>
          <w:iCs/>
          <w:sz w:val="23"/>
          <w:szCs w:val="23"/>
        </w:rPr>
      </w:pPr>
      <w:r w:rsidRPr="00AA6B21">
        <w:rPr>
          <w:b/>
          <w:bCs/>
          <w:color w:val="230859" w:themeColor="text2"/>
          <w:sz w:val="40"/>
          <w:szCs w:val="40"/>
        </w:rPr>
        <w:t xml:space="preserve">Background </w:t>
      </w:r>
      <w:r>
        <w:rPr>
          <w:b/>
          <w:bCs/>
          <w:color w:val="230859" w:themeColor="text2"/>
          <w:sz w:val="46"/>
          <w:szCs w:val="46"/>
        </w:rPr>
        <w:br/>
      </w:r>
      <w:r w:rsidRPr="00D61DDB">
        <w:rPr>
          <w:sz w:val="22"/>
          <w:szCs w:val="22"/>
        </w:rPr>
        <w:t xml:space="preserve">Next Generation is a research programme that gathers data to explore the needs, potential and aspirations of young people globally. The overall aim of Next Generation is defined through 3 strands: </w:t>
      </w:r>
    </w:p>
    <w:p w14:paraId="0FF5D7D4" w14:textId="7EEDF22C" w:rsidR="0038083F" w:rsidRPr="00D61DDB" w:rsidRDefault="0038083F" w:rsidP="00A35BA7">
      <w:pPr>
        <w:pStyle w:val="Default"/>
        <w:numPr>
          <w:ilvl w:val="0"/>
          <w:numId w:val="5"/>
        </w:numPr>
        <w:spacing w:line="360" w:lineRule="auto"/>
        <w:ind w:left="426"/>
        <w:rPr>
          <w:sz w:val="22"/>
          <w:szCs w:val="22"/>
        </w:rPr>
      </w:pPr>
      <w:r w:rsidRPr="00D61DDB">
        <w:rPr>
          <w:sz w:val="22"/>
          <w:szCs w:val="22"/>
        </w:rPr>
        <w:t xml:space="preserve">Research: Understanding youth attitudes and aspirations </w:t>
      </w:r>
    </w:p>
    <w:p w14:paraId="6565894D" w14:textId="31FE18D8" w:rsidR="0038083F" w:rsidRPr="00D61DDB" w:rsidRDefault="0038083F" w:rsidP="00A35BA7">
      <w:pPr>
        <w:pStyle w:val="Default"/>
        <w:numPr>
          <w:ilvl w:val="0"/>
          <w:numId w:val="5"/>
        </w:numPr>
        <w:spacing w:line="360" w:lineRule="auto"/>
        <w:ind w:left="426"/>
        <w:rPr>
          <w:sz w:val="22"/>
          <w:szCs w:val="22"/>
        </w:rPr>
      </w:pPr>
      <w:r w:rsidRPr="00D61DDB">
        <w:rPr>
          <w:sz w:val="22"/>
          <w:szCs w:val="22"/>
        </w:rPr>
        <w:t xml:space="preserve">Youth Voice: Amplifying youth voice </w:t>
      </w:r>
    </w:p>
    <w:p w14:paraId="03512C0A" w14:textId="4D6478EE" w:rsidR="0038083F" w:rsidRPr="00D61DDB" w:rsidRDefault="0038083F" w:rsidP="00A35BA7">
      <w:pPr>
        <w:pStyle w:val="Default"/>
        <w:numPr>
          <w:ilvl w:val="0"/>
          <w:numId w:val="5"/>
        </w:numPr>
        <w:spacing w:line="360" w:lineRule="auto"/>
        <w:ind w:left="426"/>
        <w:rPr>
          <w:sz w:val="22"/>
          <w:szCs w:val="22"/>
        </w:rPr>
      </w:pPr>
      <w:r w:rsidRPr="00D61DDB">
        <w:rPr>
          <w:sz w:val="22"/>
          <w:szCs w:val="22"/>
        </w:rPr>
        <w:t xml:space="preserve">Policy Impact: Supporting better youth policymaking </w:t>
      </w:r>
    </w:p>
    <w:p w14:paraId="31EDE1E5" w14:textId="1FF98838" w:rsidR="0038083F" w:rsidRDefault="0038083F" w:rsidP="00A35BA7">
      <w:pPr>
        <w:pStyle w:val="Default"/>
        <w:spacing w:line="360" w:lineRule="auto"/>
        <w:rPr>
          <w:sz w:val="22"/>
          <w:szCs w:val="22"/>
        </w:rPr>
      </w:pPr>
      <w:r w:rsidRPr="00D61DDB">
        <w:rPr>
          <w:sz w:val="22"/>
          <w:szCs w:val="22"/>
        </w:rPr>
        <w:br/>
        <w:t xml:space="preserve">The research seeks to analyse the conditions that support young people and allow them to reach their potential as fulfilled, productive and active citizens. Research is initiated in countries that are experiencing a period of significant change, with the purpose of ensuring that young people’s voices are heard, and their interests properly represented in decisions that will have lasting implications for their lives. The research is always completed with a series of recommendations based on supporting policy change. This research has been conducted in countries including the UK, Colombia, Germany, Ireland/Northern Irelands, Myanmar, </w:t>
      </w:r>
      <w:r w:rsidR="00E63662">
        <w:rPr>
          <w:sz w:val="22"/>
          <w:szCs w:val="22"/>
        </w:rPr>
        <w:t>Albania</w:t>
      </w:r>
      <w:r w:rsidRPr="00D61DDB">
        <w:rPr>
          <w:sz w:val="22"/>
          <w:szCs w:val="22"/>
        </w:rPr>
        <w:t xml:space="preserve">, South Africa, Tanzania, Turkey, and Vietnam. We look to see how one or more significant changes or periods of activity – particularly when a number of events or circumstance come together – affects young people’s view of themselves and their place in the world.  </w:t>
      </w:r>
    </w:p>
    <w:p w14:paraId="09592861" w14:textId="6648ECC6" w:rsidR="0038083F" w:rsidRPr="00AA6B21" w:rsidRDefault="00BC46D2" w:rsidP="00BC46D2">
      <w:pPr>
        <w:pStyle w:val="Default"/>
        <w:spacing w:line="360" w:lineRule="auto"/>
        <w:rPr>
          <w:b/>
          <w:bCs/>
          <w:color w:val="230859" w:themeColor="text2"/>
          <w:sz w:val="40"/>
          <w:szCs w:val="40"/>
        </w:rPr>
      </w:pPr>
      <w:r>
        <w:rPr>
          <w:b/>
          <w:bCs/>
          <w:color w:val="230859" w:themeColor="text2"/>
          <w:sz w:val="36"/>
          <w:szCs w:val="36"/>
        </w:rPr>
        <w:br/>
      </w:r>
      <w:r w:rsidR="0038083F" w:rsidRPr="00AA6B21">
        <w:rPr>
          <w:b/>
          <w:bCs/>
          <w:color w:val="230859" w:themeColor="text2"/>
          <w:sz w:val="40"/>
          <w:szCs w:val="40"/>
        </w:rPr>
        <w:t xml:space="preserve">Context </w:t>
      </w:r>
    </w:p>
    <w:p w14:paraId="6AEF260C" w14:textId="77777777" w:rsidR="00E63662" w:rsidRPr="00E63662" w:rsidRDefault="00E63662" w:rsidP="00E63662">
      <w:pPr>
        <w:pStyle w:val="Default"/>
        <w:spacing w:line="360" w:lineRule="auto"/>
        <w:rPr>
          <w:rFonts w:asciiTheme="minorHAnsi" w:hAnsiTheme="minorHAnsi" w:cstheme="minorHAnsi"/>
          <w:sz w:val="23"/>
          <w:szCs w:val="23"/>
        </w:rPr>
      </w:pPr>
      <w:r w:rsidRPr="00E63662">
        <w:rPr>
          <w:rFonts w:asciiTheme="minorHAnsi" w:hAnsiTheme="minorHAnsi" w:cstheme="minorHAnsi"/>
          <w:sz w:val="23"/>
          <w:szCs w:val="23"/>
        </w:rPr>
        <w:t>Since transitioning from 46 years of communism to a democratic multi-party system in the early 1990s, Albania has faced a challenging transition characterised by high unemployment, corruption, lack of rule of law, a system of financial pyramids (1997), high informal economy and a weak energy and transportation infrastructure.  </w:t>
      </w:r>
    </w:p>
    <w:p w14:paraId="7C5770D6" w14:textId="77777777" w:rsidR="00E63662" w:rsidRDefault="00E63662" w:rsidP="00E63662">
      <w:pPr>
        <w:pStyle w:val="Default"/>
        <w:spacing w:line="360" w:lineRule="auto"/>
        <w:rPr>
          <w:rFonts w:asciiTheme="minorHAnsi" w:hAnsiTheme="minorHAnsi" w:cstheme="minorHAnsi"/>
          <w:sz w:val="23"/>
          <w:szCs w:val="23"/>
        </w:rPr>
      </w:pPr>
    </w:p>
    <w:p w14:paraId="73938DF9" w14:textId="4357D475" w:rsidR="00E63662" w:rsidRDefault="00E63662" w:rsidP="00E63662">
      <w:pPr>
        <w:pStyle w:val="Default"/>
        <w:spacing w:line="360" w:lineRule="auto"/>
        <w:rPr>
          <w:rFonts w:asciiTheme="minorHAnsi" w:hAnsiTheme="minorHAnsi" w:cstheme="minorHAnsi"/>
          <w:sz w:val="23"/>
          <w:szCs w:val="23"/>
        </w:rPr>
      </w:pPr>
      <w:r>
        <w:rPr>
          <w:rFonts w:asciiTheme="minorHAnsi" w:hAnsiTheme="minorHAnsi" w:cstheme="minorHAnsi"/>
          <w:sz w:val="23"/>
          <w:szCs w:val="23"/>
        </w:rPr>
        <w:lastRenderedPageBreak/>
        <w:t>I</w:t>
      </w:r>
      <w:r w:rsidRPr="00E63662">
        <w:rPr>
          <w:rFonts w:asciiTheme="minorHAnsi" w:hAnsiTheme="minorHAnsi" w:cstheme="minorHAnsi"/>
          <w:sz w:val="23"/>
          <w:szCs w:val="23"/>
        </w:rPr>
        <w:t>n recent years, Albania has implemented important structural reforms. This has transformed Albania from one of the poorest countries in Europe to one with equitable growth, an increase in productivity and competitiveness in the economy, job creation, improved governance and public sectors, and an advance the European Union integration agenda. Recently (in 2022), Albania received the status of candidate country to become a member state of the European Union. However, the number of those that live below the poverty line in Albania is recorded to be 22%. (World Bank, 2022). </w:t>
      </w:r>
    </w:p>
    <w:p w14:paraId="12E33D18" w14:textId="77777777" w:rsidR="00E63662" w:rsidRDefault="00E63662" w:rsidP="00E63662">
      <w:pPr>
        <w:pStyle w:val="Default"/>
        <w:spacing w:line="360" w:lineRule="auto"/>
        <w:rPr>
          <w:rFonts w:asciiTheme="minorHAnsi" w:hAnsiTheme="minorHAnsi" w:cstheme="minorHAnsi"/>
          <w:sz w:val="23"/>
          <w:szCs w:val="23"/>
        </w:rPr>
      </w:pPr>
    </w:p>
    <w:p w14:paraId="65EC5B02" w14:textId="174DD919" w:rsidR="00E63662" w:rsidRPr="00E63662" w:rsidRDefault="00E63662" w:rsidP="00E63662">
      <w:pPr>
        <w:pStyle w:val="Default"/>
        <w:spacing w:line="360" w:lineRule="auto"/>
        <w:rPr>
          <w:rFonts w:asciiTheme="minorHAnsi" w:hAnsiTheme="minorHAnsi" w:cstheme="minorHAnsi"/>
          <w:sz w:val="23"/>
          <w:szCs w:val="23"/>
        </w:rPr>
      </w:pPr>
      <w:r>
        <w:rPr>
          <w:rStyle w:val="normaltextrun"/>
          <w:sz w:val="22"/>
          <w:szCs w:val="22"/>
          <w:shd w:val="clear" w:color="auto" w:fill="FFFFFF"/>
        </w:rPr>
        <w:t>Albania is considered to have the second youngest population in Europe, after Kosovo. Since the early 1990s, the youth of Albania is ranked the first in the region to migrate into the EU and other countries for a better life and education.</w:t>
      </w:r>
      <w:r>
        <w:rPr>
          <w:rStyle w:val="normaltextrun"/>
          <w:sz w:val="22"/>
          <w:szCs w:val="22"/>
          <w:shd w:val="clear" w:color="auto" w:fill="FFFFFF"/>
        </w:rPr>
        <w:t xml:space="preserve"> </w:t>
      </w:r>
      <w:r>
        <w:rPr>
          <w:rStyle w:val="normaltextrun"/>
          <w:sz w:val="22"/>
          <w:szCs w:val="22"/>
        </w:rPr>
        <w:t>Consequently, the Next Generation Albania project is an opportunity to support the youth, stakeholders and the government increase their cooperation and join the synergies to implement the strategy and deal effectively with development challenges. It will support policy makers to implement the strategy based on the youth voice and recommendations to make them able to realise their full potential.</w:t>
      </w:r>
      <w:r>
        <w:rPr>
          <w:rStyle w:val="eop"/>
          <w:sz w:val="22"/>
          <w:szCs w:val="22"/>
          <w:shd w:val="clear" w:color="auto" w:fill="FFFFFF"/>
        </w:rPr>
        <w:t> </w:t>
      </w:r>
    </w:p>
    <w:p w14:paraId="4A04C63F" w14:textId="144ABEE6" w:rsidR="00640FA4" w:rsidRPr="00954B89" w:rsidRDefault="00F232F8" w:rsidP="00954B89">
      <w:pPr>
        <w:pStyle w:val="Default"/>
        <w:spacing w:line="360" w:lineRule="auto"/>
        <w:rPr>
          <w:rFonts w:asciiTheme="minorHAnsi" w:hAnsiTheme="minorHAnsi" w:cstheme="minorHAnsi"/>
          <w:sz w:val="36"/>
          <w:szCs w:val="36"/>
        </w:rPr>
      </w:pPr>
      <w:r>
        <w:rPr>
          <w:rFonts w:asciiTheme="minorHAnsi" w:hAnsiTheme="minorHAnsi" w:cstheme="minorHAnsi"/>
          <w:sz w:val="23"/>
          <w:szCs w:val="23"/>
        </w:rPr>
        <w:br/>
      </w:r>
      <w:r w:rsidRPr="00954B89">
        <w:rPr>
          <w:b/>
          <w:bCs/>
          <w:color w:val="230859" w:themeColor="text2"/>
          <w:sz w:val="36"/>
          <w:szCs w:val="36"/>
        </w:rPr>
        <w:t xml:space="preserve">Themes and key areas of research </w:t>
      </w:r>
    </w:p>
    <w:p w14:paraId="3D1C66BF" w14:textId="4E3D3463" w:rsidR="00640FA4" w:rsidRPr="00AA6B21" w:rsidRDefault="00BC44E6" w:rsidP="00954B89">
      <w:pPr>
        <w:pStyle w:val="Default"/>
        <w:spacing w:line="360" w:lineRule="auto"/>
        <w:rPr>
          <w:sz w:val="23"/>
          <w:szCs w:val="23"/>
        </w:rPr>
      </w:pPr>
      <w:r w:rsidRPr="00AA6B21">
        <w:rPr>
          <w:sz w:val="23"/>
          <w:szCs w:val="23"/>
        </w:rPr>
        <w:t>The study will focus and explore the following topics and themes (the list below is not exhaustive and open to amendment and suggestions from the supplier):</w:t>
      </w:r>
    </w:p>
    <w:p w14:paraId="49E006E5" w14:textId="3D7986CB" w:rsidR="00B36857" w:rsidRPr="00AA6B21" w:rsidRDefault="00B36857" w:rsidP="00954B89">
      <w:pPr>
        <w:pStyle w:val="Default"/>
        <w:numPr>
          <w:ilvl w:val="0"/>
          <w:numId w:val="13"/>
        </w:numPr>
        <w:spacing w:after="140" w:line="360" w:lineRule="auto"/>
        <w:rPr>
          <w:sz w:val="23"/>
          <w:szCs w:val="23"/>
        </w:rPr>
      </w:pPr>
      <w:r w:rsidRPr="00AA6B21">
        <w:rPr>
          <w:sz w:val="23"/>
          <w:szCs w:val="23"/>
        </w:rPr>
        <w:t xml:space="preserve">Demographics </w:t>
      </w:r>
    </w:p>
    <w:p w14:paraId="7A34DE27" w14:textId="5103836E" w:rsidR="00D61DDB" w:rsidRPr="00AA6B21" w:rsidRDefault="00D61DDB" w:rsidP="00954B89">
      <w:pPr>
        <w:pStyle w:val="Default"/>
        <w:numPr>
          <w:ilvl w:val="0"/>
          <w:numId w:val="13"/>
        </w:numPr>
        <w:spacing w:after="140" w:line="360" w:lineRule="auto"/>
        <w:rPr>
          <w:sz w:val="23"/>
          <w:szCs w:val="23"/>
        </w:rPr>
      </w:pPr>
      <w:r w:rsidRPr="00AA6B21">
        <w:rPr>
          <w:sz w:val="23"/>
          <w:szCs w:val="23"/>
        </w:rPr>
        <w:t xml:space="preserve">Identity and Values </w:t>
      </w:r>
    </w:p>
    <w:p w14:paraId="3275676B" w14:textId="17580BC1" w:rsidR="00B36857" w:rsidRPr="00AA6B21" w:rsidRDefault="00B36857" w:rsidP="00954B89">
      <w:pPr>
        <w:pStyle w:val="Default"/>
        <w:numPr>
          <w:ilvl w:val="0"/>
          <w:numId w:val="13"/>
        </w:numPr>
        <w:spacing w:after="140" w:line="360" w:lineRule="auto"/>
        <w:rPr>
          <w:sz w:val="23"/>
          <w:szCs w:val="23"/>
        </w:rPr>
      </w:pPr>
      <w:r w:rsidRPr="00AA6B21">
        <w:rPr>
          <w:sz w:val="23"/>
          <w:szCs w:val="23"/>
        </w:rPr>
        <w:t xml:space="preserve">Education and Skills </w:t>
      </w:r>
    </w:p>
    <w:p w14:paraId="5D0D40BF" w14:textId="486C1365" w:rsidR="00B36857" w:rsidRPr="00AA6B21" w:rsidRDefault="00B36857" w:rsidP="00954B89">
      <w:pPr>
        <w:pStyle w:val="Default"/>
        <w:numPr>
          <w:ilvl w:val="0"/>
          <w:numId w:val="13"/>
        </w:numPr>
        <w:spacing w:after="140" w:line="360" w:lineRule="auto"/>
        <w:rPr>
          <w:sz w:val="23"/>
          <w:szCs w:val="23"/>
        </w:rPr>
      </w:pPr>
      <w:r w:rsidRPr="00AA6B21">
        <w:rPr>
          <w:sz w:val="23"/>
          <w:szCs w:val="23"/>
        </w:rPr>
        <w:t xml:space="preserve">Employment </w:t>
      </w:r>
    </w:p>
    <w:p w14:paraId="7530DAFC" w14:textId="32D28592" w:rsidR="00D61DDB" w:rsidRPr="00AA6B21" w:rsidRDefault="00D61DDB" w:rsidP="00954B89">
      <w:pPr>
        <w:pStyle w:val="Default"/>
        <w:numPr>
          <w:ilvl w:val="0"/>
          <w:numId w:val="13"/>
        </w:numPr>
        <w:spacing w:after="140" w:line="360" w:lineRule="auto"/>
        <w:rPr>
          <w:sz w:val="23"/>
          <w:szCs w:val="23"/>
        </w:rPr>
      </w:pPr>
      <w:r w:rsidRPr="00AA6B21">
        <w:rPr>
          <w:sz w:val="23"/>
          <w:szCs w:val="23"/>
        </w:rPr>
        <w:t xml:space="preserve">Local and Global Challenges </w:t>
      </w:r>
    </w:p>
    <w:p w14:paraId="6079C729" w14:textId="60C53261" w:rsidR="00B36857" w:rsidRPr="00AA6B21" w:rsidRDefault="00BC44E6" w:rsidP="00954B89">
      <w:pPr>
        <w:pStyle w:val="Default"/>
        <w:numPr>
          <w:ilvl w:val="0"/>
          <w:numId w:val="13"/>
        </w:numPr>
        <w:spacing w:after="140" w:line="360" w:lineRule="auto"/>
        <w:rPr>
          <w:sz w:val="23"/>
          <w:szCs w:val="23"/>
        </w:rPr>
      </w:pPr>
      <w:r w:rsidRPr="00AA6B21">
        <w:rPr>
          <w:sz w:val="23"/>
          <w:szCs w:val="23"/>
        </w:rPr>
        <w:t xml:space="preserve">Youth Voice (Political and </w:t>
      </w:r>
      <w:r w:rsidR="00B36857" w:rsidRPr="00AA6B21">
        <w:rPr>
          <w:sz w:val="23"/>
          <w:szCs w:val="23"/>
        </w:rPr>
        <w:t xml:space="preserve">Civic and Engagement </w:t>
      </w:r>
    </w:p>
    <w:p w14:paraId="082A97DF" w14:textId="7D615240" w:rsidR="00BC44E6" w:rsidRPr="00AA6B21" w:rsidRDefault="00BC44E6" w:rsidP="00954B89">
      <w:pPr>
        <w:pStyle w:val="Default"/>
        <w:numPr>
          <w:ilvl w:val="0"/>
          <w:numId w:val="13"/>
        </w:numPr>
        <w:spacing w:after="140" w:line="360" w:lineRule="auto"/>
        <w:rPr>
          <w:sz w:val="23"/>
          <w:szCs w:val="23"/>
        </w:rPr>
      </w:pPr>
      <w:r w:rsidRPr="00AA6B21">
        <w:rPr>
          <w:sz w:val="23"/>
          <w:szCs w:val="23"/>
        </w:rPr>
        <w:t xml:space="preserve">Digital Media </w:t>
      </w:r>
    </w:p>
    <w:p w14:paraId="46BEA4BB" w14:textId="318837E6" w:rsidR="00BC44E6" w:rsidRPr="00AA6B21" w:rsidRDefault="00BC44E6" w:rsidP="00954B89">
      <w:pPr>
        <w:pStyle w:val="Default"/>
        <w:numPr>
          <w:ilvl w:val="0"/>
          <w:numId w:val="13"/>
        </w:numPr>
        <w:spacing w:after="140" w:line="360" w:lineRule="auto"/>
        <w:rPr>
          <w:sz w:val="23"/>
          <w:szCs w:val="23"/>
        </w:rPr>
      </w:pPr>
      <w:r w:rsidRPr="00AA6B21">
        <w:rPr>
          <w:sz w:val="23"/>
          <w:szCs w:val="23"/>
        </w:rPr>
        <w:t xml:space="preserve">Arts and Culture </w:t>
      </w:r>
    </w:p>
    <w:p w14:paraId="51D53DC8" w14:textId="2E337BF3" w:rsidR="00BC44E6" w:rsidRPr="00AA6B21" w:rsidRDefault="00BC44E6" w:rsidP="00954B89">
      <w:pPr>
        <w:pStyle w:val="Default"/>
        <w:numPr>
          <w:ilvl w:val="0"/>
          <w:numId w:val="13"/>
        </w:numPr>
        <w:spacing w:after="140" w:line="360" w:lineRule="auto"/>
        <w:rPr>
          <w:sz w:val="23"/>
          <w:szCs w:val="23"/>
        </w:rPr>
      </w:pPr>
      <w:r w:rsidRPr="00AA6B21">
        <w:rPr>
          <w:sz w:val="23"/>
          <w:szCs w:val="23"/>
        </w:rPr>
        <w:t>Peace and Conflict Resolution</w:t>
      </w:r>
    </w:p>
    <w:p w14:paraId="0826F093" w14:textId="6F13697B" w:rsidR="00BC44E6" w:rsidRPr="00AA6B21" w:rsidRDefault="00BC44E6" w:rsidP="00954B89">
      <w:pPr>
        <w:pStyle w:val="Default"/>
        <w:numPr>
          <w:ilvl w:val="0"/>
          <w:numId w:val="13"/>
        </w:numPr>
        <w:spacing w:after="140" w:line="360" w:lineRule="auto"/>
        <w:rPr>
          <w:sz w:val="23"/>
          <w:szCs w:val="23"/>
        </w:rPr>
      </w:pPr>
      <w:r w:rsidRPr="00AA6B21">
        <w:rPr>
          <w:sz w:val="23"/>
          <w:szCs w:val="23"/>
        </w:rPr>
        <w:t xml:space="preserve">Global Outlook </w:t>
      </w:r>
    </w:p>
    <w:p w14:paraId="19C9ECA2" w14:textId="16F42938" w:rsidR="00640FA4" w:rsidRPr="00AA6B21" w:rsidRDefault="00BC44E6" w:rsidP="00954B89">
      <w:pPr>
        <w:pStyle w:val="Default"/>
        <w:spacing w:line="360" w:lineRule="auto"/>
        <w:rPr>
          <w:rFonts w:asciiTheme="minorHAnsi" w:hAnsiTheme="minorHAnsi" w:cstheme="minorHAnsi"/>
          <w:sz w:val="23"/>
          <w:szCs w:val="23"/>
        </w:rPr>
      </w:pPr>
      <w:r w:rsidRPr="00AA6B21">
        <w:rPr>
          <w:rFonts w:asciiTheme="minorHAnsi" w:hAnsiTheme="minorHAnsi" w:cstheme="minorHAnsi"/>
          <w:sz w:val="23"/>
          <w:szCs w:val="23"/>
        </w:rPr>
        <w:t>T</w:t>
      </w:r>
      <w:r w:rsidR="00640FA4" w:rsidRPr="00AA6B21">
        <w:rPr>
          <w:rFonts w:asciiTheme="minorHAnsi" w:hAnsiTheme="minorHAnsi" w:cstheme="minorHAnsi"/>
          <w:sz w:val="23"/>
          <w:szCs w:val="23"/>
        </w:rPr>
        <w:t xml:space="preserve">he British Council holds a strong commitment to Equality, Diversity and Inclusion (EDI) as stated in the organisation’s </w:t>
      </w:r>
      <w:hyperlink r:id="rId8" w:history="1">
        <w:r w:rsidR="00640FA4" w:rsidRPr="00AA6B21">
          <w:rPr>
            <w:rStyle w:val="Hyperlink"/>
            <w:rFonts w:asciiTheme="minorHAnsi" w:hAnsiTheme="minorHAnsi" w:cstheme="minorHAnsi"/>
            <w:sz w:val="23"/>
            <w:szCs w:val="23"/>
          </w:rPr>
          <w:t>policy and most recent strategy</w:t>
        </w:r>
        <w:r w:rsidR="00A35BA7" w:rsidRPr="00AA6B21">
          <w:rPr>
            <w:rStyle w:val="Hyperlink"/>
            <w:rFonts w:asciiTheme="minorHAnsi" w:hAnsiTheme="minorHAnsi" w:cstheme="minorHAnsi"/>
            <w:sz w:val="23"/>
            <w:szCs w:val="23"/>
          </w:rPr>
          <w:t>.</w:t>
        </w:r>
      </w:hyperlink>
      <w:r w:rsidR="00640FA4" w:rsidRPr="00AA6B21">
        <w:rPr>
          <w:rFonts w:asciiTheme="minorHAnsi" w:hAnsiTheme="minorHAnsi" w:cstheme="minorHAnsi"/>
          <w:sz w:val="23"/>
          <w:szCs w:val="23"/>
        </w:rPr>
        <w:t xml:space="preserve"> Next Generation </w:t>
      </w:r>
      <w:r w:rsidR="00E63662">
        <w:rPr>
          <w:rFonts w:asciiTheme="minorHAnsi" w:hAnsiTheme="minorHAnsi" w:cstheme="minorHAnsi"/>
          <w:sz w:val="23"/>
          <w:szCs w:val="23"/>
        </w:rPr>
        <w:t>Albania</w:t>
      </w:r>
      <w:r w:rsidR="00640FA4" w:rsidRPr="00AA6B21">
        <w:rPr>
          <w:rFonts w:asciiTheme="minorHAnsi" w:hAnsiTheme="minorHAnsi" w:cstheme="minorHAnsi"/>
          <w:sz w:val="23"/>
          <w:szCs w:val="23"/>
        </w:rPr>
        <w:t xml:space="preserve"> must ensure the adequate and purposeful inclusion and adherence of the British Council’s approach to EDI and </w:t>
      </w:r>
      <w:r w:rsidR="00640FA4" w:rsidRPr="00AA6B21">
        <w:rPr>
          <w:rFonts w:asciiTheme="minorHAnsi" w:hAnsiTheme="minorHAnsi" w:cstheme="minorHAnsi"/>
          <w:sz w:val="23"/>
          <w:szCs w:val="23"/>
        </w:rPr>
        <w:lastRenderedPageBreak/>
        <w:t xml:space="preserve">contribution to diversity and gender outcomes, through research methods and tools, sampling and data collection, and dissemination of research. </w:t>
      </w:r>
    </w:p>
    <w:p w14:paraId="535DA836" w14:textId="4B0B06A5" w:rsidR="00AC6474" w:rsidRDefault="00AC6474" w:rsidP="00954B89">
      <w:pPr>
        <w:pStyle w:val="Default"/>
        <w:spacing w:line="360" w:lineRule="auto"/>
        <w:rPr>
          <w:rFonts w:asciiTheme="minorHAnsi" w:hAnsiTheme="minorHAnsi" w:cstheme="minorHAnsi"/>
          <w:sz w:val="23"/>
          <w:szCs w:val="23"/>
        </w:rPr>
      </w:pPr>
    </w:p>
    <w:p w14:paraId="6202036F" w14:textId="0EB2AD6A" w:rsidR="00AC6474" w:rsidRPr="00AA6B21" w:rsidRDefault="00AC6474" w:rsidP="00954B89">
      <w:pPr>
        <w:pStyle w:val="Default"/>
        <w:spacing w:line="360" w:lineRule="auto"/>
        <w:rPr>
          <w:rFonts w:asciiTheme="minorHAnsi" w:hAnsiTheme="minorHAnsi" w:cstheme="minorHAnsi"/>
          <w:b/>
          <w:bCs/>
          <w:color w:val="230859" w:themeColor="text2"/>
          <w:sz w:val="40"/>
          <w:szCs w:val="40"/>
        </w:rPr>
      </w:pPr>
      <w:r w:rsidRPr="00473FE6">
        <w:rPr>
          <w:rFonts w:asciiTheme="minorHAnsi" w:hAnsiTheme="minorHAnsi" w:cstheme="minorHAnsi"/>
          <w:b/>
          <w:bCs/>
          <w:color w:val="230859" w:themeColor="text2"/>
          <w:sz w:val="40"/>
          <w:szCs w:val="40"/>
        </w:rPr>
        <w:t xml:space="preserve">Role Profile </w:t>
      </w:r>
    </w:p>
    <w:p w14:paraId="103CC33C" w14:textId="46770E3C" w:rsidR="00BC44E6" w:rsidRPr="005C2E5F" w:rsidRDefault="00AC6474" w:rsidP="00954B89">
      <w:pPr>
        <w:pStyle w:val="Default"/>
        <w:spacing w:line="360" w:lineRule="auto"/>
        <w:rPr>
          <w:rFonts w:asciiTheme="minorHAnsi" w:hAnsiTheme="minorHAnsi" w:cstheme="minorHAnsi"/>
          <w:sz w:val="22"/>
          <w:szCs w:val="22"/>
        </w:rPr>
      </w:pPr>
      <w:r w:rsidRPr="005C2E5F">
        <w:rPr>
          <w:rFonts w:asciiTheme="minorHAnsi" w:hAnsiTheme="minorHAnsi" w:cstheme="minorHAnsi"/>
          <w:sz w:val="22"/>
          <w:szCs w:val="22"/>
        </w:rPr>
        <w:t>The British Council is looking to appoint a reputable service provider(s) with the following qualities:</w:t>
      </w:r>
    </w:p>
    <w:p w14:paraId="6069EF48" w14:textId="77777777" w:rsidR="00BC44E6" w:rsidRPr="00AC6474" w:rsidRDefault="00BC44E6" w:rsidP="00954B89">
      <w:pPr>
        <w:pStyle w:val="Default"/>
        <w:spacing w:line="360" w:lineRule="auto"/>
        <w:rPr>
          <w:rFonts w:asciiTheme="minorHAnsi" w:hAnsiTheme="minorHAnsi" w:cstheme="minorHAnsi"/>
          <w:sz w:val="23"/>
          <w:szCs w:val="23"/>
        </w:rPr>
      </w:pPr>
    </w:p>
    <w:p w14:paraId="0685CFB0" w14:textId="6D09538C" w:rsidR="00AC6474" w:rsidRPr="005C2E5F" w:rsidRDefault="00AC6474" w:rsidP="00954B89">
      <w:pPr>
        <w:pStyle w:val="Default"/>
        <w:spacing w:line="360" w:lineRule="auto"/>
        <w:rPr>
          <w:rFonts w:asciiTheme="minorHAnsi" w:hAnsiTheme="minorHAnsi" w:cstheme="minorHAnsi"/>
          <w:color w:val="230859" w:themeColor="text2"/>
          <w:sz w:val="22"/>
          <w:szCs w:val="22"/>
        </w:rPr>
      </w:pPr>
      <w:r w:rsidRPr="005C2E5F">
        <w:rPr>
          <w:rFonts w:asciiTheme="minorHAnsi" w:hAnsiTheme="minorHAnsi" w:cstheme="minorHAnsi"/>
          <w:b/>
          <w:bCs/>
          <w:color w:val="230859" w:themeColor="text2"/>
          <w:sz w:val="22"/>
          <w:szCs w:val="22"/>
        </w:rPr>
        <w:t xml:space="preserve">Research skills and experience: </w:t>
      </w:r>
    </w:p>
    <w:p w14:paraId="567D36AE" w14:textId="008CD014" w:rsidR="00AC6474"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Strong qualitative and quantitative research track record evidenced by previous projects. </w:t>
      </w:r>
    </w:p>
    <w:p w14:paraId="1CA79456" w14:textId="35173FF8" w:rsidR="00AC6474"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Expertise in conducting interviews and identifying case studies, evidenced by previous research projects. </w:t>
      </w:r>
    </w:p>
    <w:p w14:paraId="63F25758" w14:textId="57FDE97B" w:rsidR="00AC6474"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Strong experience in developing participatory research. </w:t>
      </w:r>
    </w:p>
    <w:p w14:paraId="630DBC55" w14:textId="42F2F79A" w:rsidR="00AC6474"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Strong and dedicated team with suitable experience and qualifications. </w:t>
      </w:r>
    </w:p>
    <w:p w14:paraId="77FAA443" w14:textId="3BC4F82C" w:rsidR="00473FE6"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Strong experience in conducting research remotely and/or using digital/technological tools and methods. </w:t>
      </w:r>
      <w:r w:rsidR="00473FE6" w:rsidRPr="005C2E5F">
        <w:rPr>
          <w:rFonts w:asciiTheme="minorHAnsi" w:hAnsiTheme="minorHAnsi" w:cstheme="minorHAnsi"/>
          <w:sz w:val="22"/>
          <w:szCs w:val="22"/>
        </w:rPr>
        <w:br/>
      </w:r>
    </w:p>
    <w:p w14:paraId="046A8B51" w14:textId="19D70E0F" w:rsidR="00AC6474" w:rsidRPr="005C2E5F" w:rsidRDefault="00AC6474" w:rsidP="00954B89">
      <w:pPr>
        <w:pStyle w:val="Default"/>
        <w:spacing w:line="360" w:lineRule="auto"/>
        <w:rPr>
          <w:rFonts w:asciiTheme="minorHAnsi" w:hAnsiTheme="minorHAnsi" w:cstheme="minorHAnsi"/>
          <w:sz w:val="22"/>
          <w:szCs w:val="22"/>
        </w:rPr>
      </w:pPr>
      <w:r w:rsidRPr="005C2E5F">
        <w:rPr>
          <w:rFonts w:asciiTheme="minorHAnsi" w:hAnsiTheme="minorHAnsi" w:cstheme="minorHAnsi"/>
          <w:b/>
          <w:bCs/>
          <w:color w:val="230859" w:themeColor="text2"/>
          <w:sz w:val="22"/>
          <w:szCs w:val="22"/>
        </w:rPr>
        <w:t xml:space="preserve">Stakeholder engagement skills and experience: </w:t>
      </w:r>
    </w:p>
    <w:p w14:paraId="066F4EB6" w14:textId="5F0F3C0B" w:rsidR="00AC6474"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Knowledge and experience in developing, </w:t>
      </w:r>
      <w:r w:rsidR="005C2E5F" w:rsidRPr="005C2E5F">
        <w:rPr>
          <w:rFonts w:asciiTheme="minorHAnsi" w:hAnsiTheme="minorHAnsi" w:cstheme="minorHAnsi"/>
          <w:sz w:val="22"/>
          <w:szCs w:val="22"/>
        </w:rPr>
        <w:t>arranging,</w:t>
      </w:r>
      <w:r w:rsidRPr="005C2E5F">
        <w:rPr>
          <w:rFonts w:asciiTheme="minorHAnsi" w:hAnsiTheme="minorHAnsi" w:cstheme="minorHAnsi"/>
          <w:sz w:val="22"/>
          <w:szCs w:val="22"/>
        </w:rPr>
        <w:t xml:space="preserve"> and leading on a variety of stakeholder engagement activities throughout the research process to inform the research process, in addition to create interest with relevant stakeholders. </w:t>
      </w:r>
    </w:p>
    <w:p w14:paraId="183237F2" w14:textId="59990652" w:rsidR="00BC44E6" w:rsidRPr="005C2E5F" w:rsidRDefault="00AC6474" w:rsidP="00954B89">
      <w:pPr>
        <w:pStyle w:val="Default"/>
        <w:numPr>
          <w:ilvl w:val="0"/>
          <w:numId w:val="5"/>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Strong experience in conducting stakeholder engagement activities remotely and/or using digital/technological tools and methods. </w:t>
      </w:r>
      <w:r w:rsidR="00BC44E6" w:rsidRPr="005C2E5F">
        <w:rPr>
          <w:rFonts w:asciiTheme="minorHAnsi" w:hAnsiTheme="minorHAnsi" w:cstheme="minorHAnsi"/>
          <w:sz w:val="22"/>
          <w:szCs w:val="22"/>
        </w:rPr>
        <w:br/>
      </w:r>
    </w:p>
    <w:p w14:paraId="08DB7DBD" w14:textId="6A431403" w:rsidR="00AC6474" w:rsidRPr="005C2E5F" w:rsidRDefault="00AC6474" w:rsidP="00954B89">
      <w:pPr>
        <w:pStyle w:val="Default"/>
        <w:spacing w:line="360" w:lineRule="auto"/>
        <w:ind w:left="66"/>
        <w:rPr>
          <w:rFonts w:asciiTheme="minorHAnsi" w:hAnsiTheme="minorHAnsi" w:cstheme="minorHAnsi"/>
          <w:sz w:val="22"/>
          <w:szCs w:val="22"/>
        </w:rPr>
      </w:pPr>
      <w:r w:rsidRPr="005C2E5F">
        <w:rPr>
          <w:rFonts w:asciiTheme="minorHAnsi" w:hAnsiTheme="minorHAnsi" w:cstheme="minorHAnsi"/>
          <w:b/>
          <w:bCs/>
          <w:color w:val="230859" w:themeColor="text2"/>
          <w:sz w:val="22"/>
          <w:szCs w:val="22"/>
        </w:rPr>
        <w:t xml:space="preserve">Local knowledge and expertise: </w:t>
      </w:r>
    </w:p>
    <w:p w14:paraId="677372BB" w14:textId="7194FD54" w:rsidR="00AC6474" w:rsidRPr="005C2E5F" w:rsidRDefault="00AC6474" w:rsidP="00BC46D2">
      <w:pPr>
        <w:pStyle w:val="Default"/>
        <w:numPr>
          <w:ilvl w:val="0"/>
          <w:numId w:val="11"/>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Knowledge and expertise in the political, social, economic, and cultural aspects of</w:t>
      </w:r>
      <w:r w:rsidR="005C2E5F">
        <w:rPr>
          <w:rFonts w:asciiTheme="minorHAnsi" w:hAnsiTheme="minorHAnsi" w:cstheme="minorHAnsi"/>
          <w:sz w:val="22"/>
          <w:szCs w:val="22"/>
        </w:rPr>
        <w:t xml:space="preserve"> </w:t>
      </w:r>
      <w:r w:rsidR="00E63662">
        <w:rPr>
          <w:rFonts w:asciiTheme="minorHAnsi" w:hAnsiTheme="minorHAnsi" w:cstheme="minorHAnsi"/>
          <w:sz w:val="22"/>
          <w:szCs w:val="22"/>
        </w:rPr>
        <w:t>Albania</w:t>
      </w:r>
      <w:r w:rsidRPr="005C2E5F">
        <w:rPr>
          <w:rFonts w:asciiTheme="minorHAnsi" w:hAnsiTheme="minorHAnsi" w:cstheme="minorHAnsi"/>
          <w:sz w:val="22"/>
          <w:szCs w:val="22"/>
        </w:rPr>
        <w:t xml:space="preserve">. </w:t>
      </w:r>
    </w:p>
    <w:p w14:paraId="53055D2E" w14:textId="25812135" w:rsidR="00AC6474" w:rsidRPr="005C2E5F" w:rsidRDefault="00AC6474" w:rsidP="00BC46D2">
      <w:pPr>
        <w:pStyle w:val="Default"/>
        <w:numPr>
          <w:ilvl w:val="0"/>
          <w:numId w:val="11"/>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Knowledge and expertise in the area of youth and youth issues. </w:t>
      </w:r>
    </w:p>
    <w:p w14:paraId="6287986D" w14:textId="301F6025" w:rsidR="00BC44E6" w:rsidRPr="005C2E5F" w:rsidRDefault="00AC6474" w:rsidP="00BC46D2">
      <w:pPr>
        <w:pStyle w:val="Default"/>
        <w:numPr>
          <w:ilvl w:val="0"/>
          <w:numId w:val="11"/>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Knowledge of and/or already established relationships with networks of youth groups and youth stakeholders in </w:t>
      </w:r>
      <w:r w:rsidR="00E63662">
        <w:rPr>
          <w:rFonts w:asciiTheme="minorHAnsi" w:hAnsiTheme="minorHAnsi" w:cstheme="minorHAnsi"/>
          <w:sz w:val="22"/>
          <w:szCs w:val="22"/>
        </w:rPr>
        <w:t>Albania</w:t>
      </w:r>
      <w:r w:rsidRPr="005C2E5F">
        <w:rPr>
          <w:rFonts w:asciiTheme="minorHAnsi" w:hAnsiTheme="minorHAnsi" w:cstheme="minorHAnsi"/>
          <w:sz w:val="22"/>
          <w:szCs w:val="22"/>
        </w:rPr>
        <w:t xml:space="preserve"> </w:t>
      </w:r>
      <w:r w:rsidR="00BC44E6" w:rsidRPr="005C2E5F">
        <w:rPr>
          <w:rFonts w:asciiTheme="minorHAnsi" w:hAnsiTheme="minorHAnsi" w:cstheme="minorHAnsi"/>
          <w:sz w:val="22"/>
          <w:szCs w:val="22"/>
        </w:rPr>
        <w:br/>
      </w:r>
    </w:p>
    <w:p w14:paraId="035180FD" w14:textId="2A63AAA2" w:rsidR="00AC6474" w:rsidRPr="005C2E5F" w:rsidRDefault="00AC6474" w:rsidP="00954B89">
      <w:pPr>
        <w:pStyle w:val="Default"/>
        <w:spacing w:line="360" w:lineRule="auto"/>
        <w:ind w:left="-76"/>
        <w:rPr>
          <w:rFonts w:asciiTheme="minorHAnsi" w:hAnsiTheme="minorHAnsi" w:cstheme="minorHAnsi"/>
          <w:sz w:val="22"/>
          <w:szCs w:val="22"/>
        </w:rPr>
      </w:pPr>
      <w:r w:rsidRPr="005C2E5F">
        <w:rPr>
          <w:rFonts w:asciiTheme="minorHAnsi" w:hAnsiTheme="minorHAnsi" w:cstheme="minorHAnsi"/>
          <w:b/>
          <w:bCs/>
          <w:color w:val="230859" w:themeColor="text2"/>
          <w:sz w:val="22"/>
          <w:szCs w:val="22"/>
        </w:rPr>
        <w:t>Other</w:t>
      </w:r>
      <w:r w:rsidR="00BC44E6" w:rsidRPr="005C2E5F">
        <w:rPr>
          <w:rFonts w:asciiTheme="minorHAnsi" w:hAnsiTheme="minorHAnsi" w:cstheme="minorHAnsi"/>
          <w:b/>
          <w:bCs/>
          <w:color w:val="230859" w:themeColor="text2"/>
          <w:sz w:val="22"/>
          <w:szCs w:val="22"/>
        </w:rPr>
        <w:t xml:space="preserve"> requirements</w:t>
      </w:r>
      <w:r w:rsidRPr="005C2E5F">
        <w:rPr>
          <w:rFonts w:asciiTheme="minorHAnsi" w:hAnsiTheme="minorHAnsi" w:cstheme="minorHAnsi"/>
          <w:b/>
          <w:bCs/>
          <w:color w:val="230859" w:themeColor="text2"/>
          <w:sz w:val="22"/>
          <w:szCs w:val="22"/>
        </w:rPr>
        <w:t xml:space="preserve">: </w:t>
      </w:r>
    </w:p>
    <w:p w14:paraId="68CE17EA" w14:textId="02ADA516" w:rsidR="00AC6474" w:rsidRPr="005C2E5F" w:rsidRDefault="00AC6474" w:rsidP="00BC46D2">
      <w:pPr>
        <w:pStyle w:val="Default"/>
        <w:numPr>
          <w:ilvl w:val="0"/>
          <w:numId w:val="11"/>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Offering good value for money </w:t>
      </w:r>
    </w:p>
    <w:p w14:paraId="45785A14" w14:textId="5AA2FF87" w:rsidR="00AC6474" w:rsidRPr="005C2E5F" w:rsidRDefault="00AC6474" w:rsidP="00BC46D2">
      <w:pPr>
        <w:pStyle w:val="Default"/>
        <w:numPr>
          <w:ilvl w:val="0"/>
          <w:numId w:val="11"/>
        </w:numPr>
        <w:spacing w:line="360" w:lineRule="auto"/>
        <w:ind w:left="426"/>
        <w:rPr>
          <w:rFonts w:asciiTheme="minorHAnsi" w:hAnsiTheme="minorHAnsi" w:cstheme="minorHAnsi"/>
          <w:sz w:val="22"/>
          <w:szCs w:val="22"/>
        </w:rPr>
      </w:pPr>
      <w:r w:rsidRPr="005C2E5F">
        <w:rPr>
          <w:rFonts w:asciiTheme="minorHAnsi" w:hAnsiTheme="minorHAnsi" w:cstheme="minorHAnsi"/>
          <w:sz w:val="22"/>
          <w:szCs w:val="22"/>
        </w:rPr>
        <w:t xml:space="preserve">Capacity to deliver within the timeframes set out below. </w:t>
      </w:r>
    </w:p>
    <w:p w14:paraId="5871C007" w14:textId="5000D603" w:rsidR="00AC6474" w:rsidRPr="005C2E5F" w:rsidRDefault="00AC6474" w:rsidP="00954B89">
      <w:pPr>
        <w:pStyle w:val="Default"/>
        <w:spacing w:line="360" w:lineRule="auto"/>
        <w:rPr>
          <w:rFonts w:asciiTheme="minorHAnsi" w:hAnsiTheme="minorHAnsi" w:cstheme="minorHAnsi"/>
          <w:i/>
          <w:iCs/>
          <w:sz w:val="22"/>
          <w:szCs w:val="22"/>
        </w:rPr>
      </w:pPr>
      <w:r w:rsidRPr="005C2E5F">
        <w:rPr>
          <w:rFonts w:asciiTheme="minorHAnsi" w:hAnsiTheme="minorHAnsi" w:cstheme="minorHAnsi"/>
          <w:i/>
          <w:iCs/>
          <w:sz w:val="22"/>
          <w:szCs w:val="22"/>
        </w:rPr>
        <w:t>For more information and to l</w:t>
      </w:r>
      <w:r w:rsidR="00BC44E6" w:rsidRPr="005C2E5F">
        <w:rPr>
          <w:rFonts w:asciiTheme="minorHAnsi" w:hAnsiTheme="minorHAnsi" w:cstheme="minorHAnsi"/>
          <w:i/>
          <w:iCs/>
          <w:sz w:val="22"/>
          <w:szCs w:val="22"/>
        </w:rPr>
        <w:t>earn</w:t>
      </w:r>
      <w:r w:rsidRPr="005C2E5F">
        <w:rPr>
          <w:rFonts w:asciiTheme="minorHAnsi" w:hAnsiTheme="minorHAnsi" w:cstheme="minorHAnsi"/>
          <w:i/>
          <w:iCs/>
          <w:sz w:val="22"/>
          <w:szCs w:val="22"/>
        </w:rPr>
        <w:t xml:space="preserve"> how suppliers will be accessed, please review the full RfP. </w:t>
      </w:r>
    </w:p>
    <w:p w14:paraId="28F09882" w14:textId="77777777" w:rsidR="00E63662" w:rsidRDefault="00E63662" w:rsidP="00954B89">
      <w:pPr>
        <w:pStyle w:val="Default"/>
        <w:spacing w:line="360" w:lineRule="auto"/>
        <w:rPr>
          <w:b/>
          <w:bCs/>
          <w:color w:val="230859" w:themeColor="text2"/>
          <w:sz w:val="40"/>
          <w:szCs w:val="40"/>
        </w:rPr>
      </w:pPr>
      <w:r>
        <w:rPr>
          <w:b/>
          <w:bCs/>
          <w:color w:val="230859" w:themeColor="text2"/>
          <w:sz w:val="40"/>
          <w:szCs w:val="40"/>
        </w:rPr>
        <w:br/>
      </w:r>
      <w:r>
        <w:rPr>
          <w:b/>
          <w:bCs/>
          <w:color w:val="230859" w:themeColor="text2"/>
          <w:sz w:val="40"/>
          <w:szCs w:val="40"/>
        </w:rPr>
        <w:br/>
      </w:r>
    </w:p>
    <w:p w14:paraId="769169CF" w14:textId="2FBE0C74" w:rsidR="00AC6474" w:rsidRPr="00954B89" w:rsidRDefault="00AC6474" w:rsidP="00954B89">
      <w:pPr>
        <w:pStyle w:val="Default"/>
        <w:spacing w:line="360" w:lineRule="auto"/>
        <w:rPr>
          <w:b/>
          <w:bCs/>
          <w:color w:val="230859" w:themeColor="text2"/>
          <w:sz w:val="40"/>
          <w:szCs w:val="40"/>
        </w:rPr>
      </w:pPr>
      <w:r w:rsidRPr="00473FE6">
        <w:rPr>
          <w:b/>
          <w:bCs/>
          <w:color w:val="230859" w:themeColor="text2"/>
          <w:sz w:val="40"/>
          <w:szCs w:val="40"/>
        </w:rPr>
        <w:lastRenderedPageBreak/>
        <w:t xml:space="preserve">Methods and Outputs </w:t>
      </w:r>
    </w:p>
    <w:p w14:paraId="43952349" w14:textId="13D6C07E" w:rsidR="00AC6474" w:rsidRPr="00BC46D2" w:rsidRDefault="00AC6474" w:rsidP="00954B89">
      <w:pPr>
        <w:pStyle w:val="Default"/>
        <w:spacing w:line="360" w:lineRule="auto"/>
        <w:rPr>
          <w:sz w:val="23"/>
          <w:szCs w:val="23"/>
        </w:rPr>
      </w:pPr>
      <w:r>
        <w:rPr>
          <w:b/>
          <w:bCs/>
          <w:sz w:val="23"/>
          <w:szCs w:val="23"/>
        </w:rPr>
        <w:t xml:space="preserve">The final methodology </w:t>
      </w:r>
      <w:r>
        <w:rPr>
          <w:sz w:val="23"/>
          <w:szCs w:val="23"/>
        </w:rPr>
        <w:t xml:space="preserve">used for this research project will be agreed in consultation between the appointed service providers and the British Council. </w:t>
      </w:r>
      <w:r w:rsidRPr="00BC46D2">
        <w:rPr>
          <w:sz w:val="23"/>
          <w:szCs w:val="23"/>
        </w:rPr>
        <w:t xml:space="preserve">We anticipate the methodology to broadly </w:t>
      </w:r>
      <w:r w:rsidR="00954B89" w:rsidRPr="00BC46D2">
        <w:rPr>
          <w:sz w:val="23"/>
          <w:szCs w:val="23"/>
        </w:rPr>
        <w:t>include</w:t>
      </w:r>
      <w:r w:rsidRPr="00BC46D2">
        <w:rPr>
          <w:sz w:val="23"/>
          <w:szCs w:val="23"/>
        </w:rPr>
        <w:t xml:space="preserve"> Desk research, a nationally representative quantitative survey, in-depth qualitative discussions, data analysis, conclusions, and policy recommendations. </w:t>
      </w:r>
      <w:r w:rsidRPr="00BC46D2">
        <w:rPr>
          <w:sz w:val="23"/>
          <w:szCs w:val="23"/>
        </w:rPr>
        <w:br/>
      </w:r>
    </w:p>
    <w:p w14:paraId="4B776F60" w14:textId="77777777" w:rsidR="00AC6474" w:rsidRDefault="00AC6474" w:rsidP="00954B89">
      <w:pPr>
        <w:pStyle w:val="Default"/>
        <w:spacing w:line="360" w:lineRule="auto"/>
        <w:rPr>
          <w:sz w:val="23"/>
          <w:szCs w:val="23"/>
        </w:rPr>
      </w:pPr>
      <w:r>
        <w:rPr>
          <w:sz w:val="23"/>
          <w:szCs w:val="23"/>
        </w:rPr>
        <w:t xml:space="preserve">Throughout the stages of the research process, we expect a range of stakeholder engagement activities to support the development, analysis and dissemination of the research and key findings. </w:t>
      </w:r>
    </w:p>
    <w:p w14:paraId="24896FB5" w14:textId="14F13684" w:rsidR="00640FA4" w:rsidRDefault="00AC6474" w:rsidP="00954B89">
      <w:pPr>
        <w:pStyle w:val="Default"/>
        <w:spacing w:line="360" w:lineRule="auto"/>
        <w:rPr>
          <w:sz w:val="23"/>
          <w:szCs w:val="23"/>
        </w:rPr>
      </w:pPr>
      <w:r>
        <w:rPr>
          <w:b/>
          <w:bCs/>
          <w:sz w:val="23"/>
          <w:szCs w:val="23"/>
        </w:rPr>
        <w:t xml:space="preserve">The final outputs </w:t>
      </w:r>
      <w:r>
        <w:rPr>
          <w:sz w:val="23"/>
          <w:szCs w:val="23"/>
        </w:rPr>
        <w:t>will be agreed in consultation between the appointed service provider and the British Council. We anticipate the final outputs to broadly include: Datasets; A final report in English; An executive summary; A slide deck of key findings; A number of stakeholder engagement activities as part of the research and dissemination process.</w:t>
      </w:r>
    </w:p>
    <w:p w14:paraId="04C52D37" w14:textId="1B64407E" w:rsidR="00AC6474" w:rsidRDefault="00AC6474" w:rsidP="00954B89">
      <w:pPr>
        <w:pStyle w:val="Default"/>
        <w:spacing w:line="360" w:lineRule="auto"/>
        <w:rPr>
          <w:sz w:val="23"/>
          <w:szCs w:val="23"/>
        </w:rPr>
      </w:pPr>
    </w:p>
    <w:p w14:paraId="5D176CEA" w14:textId="51D18EE6" w:rsidR="00AC6474" w:rsidRPr="00AC6474" w:rsidRDefault="00AC6474" w:rsidP="00954B89">
      <w:pPr>
        <w:spacing w:afterLines="120" w:after="288" w:line="360" w:lineRule="auto"/>
        <w:rPr>
          <w:rFonts w:cs="Arial"/>
          <w:b/>
          <w:color w:val="230859" w:themeColor="text2"/>
          <w:sz w:val="46"/>
          <w:szCs w:val="46"/>
        </w:rPr>
      </w:pPr>
      <w:r w:rsidRPr="00473FE6">
        <w:rPr>
          <w:rFonts w:cs="Arial"/>
          <w:b/>
          <w:color w:val="230859" w:themeColor="text2"/>
          <w:sz w:val="40"/>
          <w:szCs w:val="40"/>
        </w:rPr>
        <w:t>Timescales</w:t>
      </w:r>
      <w:bookmarkStart w:id="0" w:name="_Hlk27134299"/>
      <w:r>
        <w:rPr>
          <w:rFonts w:cs="Arial"/>
          <w:b/>
          <w:color w:val="230859" w:themeColor="text2"/>
          <w:sz w:val="46"/>
          <w:szCs w:val="46"/>
        </w:rPr>
        <w:br/>
      </w:r>
      <w:r w:rsidRPr="00AA6B21">
        <w:rPr>
          <w:rFonts w:cs="Arial"/>
          <w:sz w:val="23"/>
          <w:szCs w:val="23"/>
        </w:rPr>
        <w:t>Subject to any changes notified to potential suppliers by the British Council in accordance with the Proposal Conditions, the intended timescales applicable to this Procurement Process are:</w:t>
      </w:r>
      <w:r w:rsidRPr="003D010E">
        <w:rPr>
          <w:rFonts w:cs="Arial"/>
        </w:rPr>
        <w:t xml:space="preserve"> </w:t>
      </w:r>
    </w:p>
    <w:tbl>
      <w:tblPr>
        <w:tblStyle w:val="BritishCouncil-PinkTableStyle"/>
        <w:tblW w:w="0" w:type="auto"/>
        <w:tblLook w:val="04A0" w:firstRow="1" w:lastRow="0" w:firstColumn="1" w:lastColumn="0" w:noHBand="0" w:noVBand="1"/>
      </w:tblPr>
      <w:tblGrid>
        <w:gridCol w:w="6345"/>
        <w:gridCol w:w="3693"/>
      </w:tblGrid>
      <w:tr w:rsidR="00AC6474" w:rsidRPr="003D010E" w14:paraId="3C64F305" w14:textId="77777777" w:rsidTr="00AC6474">
        <w:trPr>
          <w:cnfStyle w:val="100000000000" w:firstRow="1" w:lastRow="0" w:firstColumn="0" w:lastColumn="0" w:oddVBand="0" w:evenVBand="0" w:oddHBand="0" w:evenHBand="0" w:firstRowFirstColumn="0" w:firstRowLastColumn="0" w:lastRowFirstColumn="0" w:lastRowLastColumn="0"/>
        </w:trPr>
        <w:tc>
          <w:tcPr>
            <w:tcW w:w="6345" w:type="dxa"/>
          </w:tcPr>
          <w:p w14:paraId="66BA4737" w14:textId="77777777" w:rsidR="00AC6474" w:rsidRPr="005C2E5F" w:rsidRDefault="00AC6474" w:rsidP="00954B89">
            <w:pPr>
              <w:spacing w:line="360" w:lineRule="auto"/>
              <w:rPr>
                <w:rFonts w:cs="Arial"/>
                <w:b w:val="0"/>
                <w:sz w:val="23"/>
                <w:szCs w:val="23"/>
              </w:rPr>
            </w:pPr>
            <w:bookmarkStart w:id="1" w:name="_Hlk82702070"/>
            <w:r w:rsidRPr="005C2E5F">
              <w:rPr>
                <w:rFonts w:cs="Arial"/>
                <w:b w:val="0"/>
                <w:sz w:val="23"/>
                <w:szCs w:val="23"/>
              </w:rPr>
              <w:t xml:space="preserve">Activity </w:t>
            </w:r>
          </w:p>
        </w:tc>
        <w:tc>
          <w:tcPr>
            <w:tcW w:w="3693" w:type="dxa"/>
          </w:tcPr>
          <w:p w14:paraId="134AECA3" w14:textId="77777777" w:rsidR="00AC6474" w:rsidRPr="005C2E5F" w:rsidRDefault="00AC6474" w:rsidP="00954B89">
            <w:pPr>
              <w:spacing w:line="360" w:lineRule="auto"/>
              <w:rPr>
                <w:rFonts w:cs="Arial"/>
                <w:b w:val="0"/>
                <w:sz w:val="23"/>
                <w:szCs w:val="23"/>
              </w:rPr>
            </w:pPr>
            <w:r w:rsidRPr="005C2E5F">
              <w:rPr>
                <w:rFonts w:cs="Arial"/>
                <w:b w:val="0"/>
                <w:sz w:val="23"/>
                <w:szCs w:val="23"/>
              </w:rPr>
              <w:t>Date / time</w:t>
            </w:r>
          </w:p>
        </w:tc>
      </w:tr>
      <w:tr w:rsidR="00AC6474" w:rsidRPr="003D010E" w14:paraId="59482F7B" w14:textId="77777777" w:rsidTr="00AC6474">
        <w:tc>
          <w:tcPr>
            <w:tcW w:w="6345" w:type="dxa"/>
          </w:tcPr>
          <w:p w14:paraId="07CBDD70" w14:textId="77777777" w:rsidR="00AC6474" w:rsidRPr="00A35BA7" w:rsidRDefault="00AC6474" w:rsidP="00A35BA7">
            <w:pPr>
              <w:spacing w:line="360" w:lineRule="auto"/>
              <w:rPr>
                <w:rFonts w:cs="Arial"/>
                <w:sz w:val="23"/>
                <w:szCs w:val="23"/>
              </w:rPr>
            </w:pPr>
            <w:r w:rsidRPr="00A35BA7">
              <w:rPr>
                <w:rFonts w:cs="Arial"/>
                <w:sz w:val="23"/>
                <w:szCs w:val="23"/>
              </w:rPr>
              <w:t>RFP Issued to bidding suppliers</w:t>
            </w:r>
          </w:p>
        </w:tc>
        <w:tc>
          <w:tcPr>
            <w:tcW w:w="3693" w:type="dxa"/>
          </w:tcPr>
          <w:p w14:paraId="32FAC444" w14:textId="43326ADD" w:rsidR="00AC6474" w:rsidRPr="00A35BA7" w:rsidRDefault="00E63662" w:rsidP="00A35BA7">
            <w:pPr>
              <w:spacing w:line="360" w:lineRule="auto"/>
              <w:rPr>
                <w:rFonts w:cs="Arial"/>
                <w:sz w:val="23"/>
                <w:szCs w:val="23"/>
              </w:rPr>
            </w:pPr>
            <w:r w:rsidRPr="00E63662">
              <w:rPr>
                <w:rFonts w:cs="Arial"/>
                <w:sz w:val="23"/>
                <w:szCs w:val="23"/>
              </w:rPr>
              <w:t>Friday 4</w:t>
            </w:r>
            <w:r w:rsidRPr="00E63662">
              <w:rPr>
                <w:rFonts w:cs="Arial"/>
                <w:sz w:val="23"/>
                <w:szCs w:val="23"/>
                <w:vertAlign w:val="superscript"/>
              </w:rPr>
              <w:t>th</w:t>
            </w:r>
            <w:r w:rsidRPr="00E63662">
              <w:rPr>
                <w:rFonts w:cs="Arial"/>
                <w:sz w:val="23"/>
                <w:szCs w:val="23"/>
              </w:rPr>
              <w:t xml:space="preserve"> November 2022  </w:t>
            </w:r>
          </w:p>
        </w:tc>
      </w:tr>
      <w:tr w:rsidR="00AC6474" w:rsidRPr="003D010E" w14:paraId="7F19138E" w14:textId="77777777" w:rsidTr="00AC6474">
        <w:tc>
          <w:tcPr>
            <w:tcW w:w="6345" w:type="dxa"/>
          </w:tcPr>
          <w:p w14:paraId="4152662A" w14:textId="77777777" w:rsidR="00AC6474" w:rsidRPr="00A35BA7" w:rsidRDefault="00AC6474" w:rsidP="00A35BA7">
            <w:pPr>
              <w:spacing w:line="360" w:lineRule="auto"/>
              <w:rPr>
                <w:rFonts w:cs="Arial"/>
                <w:sz w:val="23"/>
                <w:szCs w:val="23"/>
              </w:rPr>
            </w:pPr>
            <w:r w:rsidRPr="00A35BA7">
              <w:rPr>
                <w:rFonts w:cs="Arial"/>
                <w:sz w:val="23"/>
                <w:szCs w:val="23"/>
              </w:rPr>
              <w:t>Deadline for clarification questions (</w:t>
            </w:r>
            <w:r w:rsidRPr="00A35BA7">
              <w:rPr>
                <w:rFonts w:cs="Arial"/>
                <w:b/>
                <w:sz w:val="23"/>
                <w:szCs w:val="23"/>
              </w:rPr>
              <w:t>Clarification Deadline</w:t>
            </w:r>
            <w:r w:rsidRPr="00A35BA7">
              <w:rPr>
                <w:rFonts w:cs="Arial"/>
                <w:sz w:val="23"/>
                <w:szCs w:val="23"/>
              </w:rPr>
              <w:t xml:space="preserve">) </w:t>
            </w:r>
          </w:p>
        </w:tc>
        <w:tc>
          <w:tcPr>
            <w:tcW w:w="3693" w:type="dxa"/>
          </w:tcPr>
          <w:p w14:paraId="112622FE" w14:textId="7A8B7225" w:rsidR="00AC6474" w:rsidRPr="00A35BA7" w:rsidRDefault="00E63662" w:rsidP="00A35BA7">
            <w:pPr>
              <w:spacing w:line="360" w:lineRule="auto"/>
              <w:rPr>
                <w:rFonts w:cs="Arial"/>
                <w:sz w:val="23"/>
                <w:szCs w:val="23"/>
              </w:rPr>
            </w:pPr>
            <w:r w:rsidRPr="00E63662">
              <w:rPr>
                <w:rFonts w:cs="Arial"/>
                <w:sz w:val="23"/>
                <w:szCs w:val="23"/>
              </w:rPr>
              <w:t xml:space="preserve">23:59 </w:t>
            </w:r>
            <w:r>
              <w:rPr>
                <w:rFonts w:cs="Arial"/>
                <w:sz w:val="23"/>
                <w:szCs w:val="23"/>
              </w:rPr>
              <w:t xml:space="preserve">GMT </w:t>
            </w:r>
            <w:r w:rsidRPr="00E63662">
              <w:rPr>
                <w:rFonts w:cs="Arial"/>
                <w:sz w:val="23"/>
                <w:szCs w:val="23"/>
              </w:rPr>
              <w:t>13</w:t>
            </w:r>
            <w:r w:rsidRPr="00E63662">
              <w:rPr>
                <w:rFonts w:cs="Arial"/>
                <w:sz w:val="23"/>
                <w:szCs w:val="23"/>
                <w:vertAlign w:val="superscript"/>
              </w:rPr>
              <w:t>th</w:t>
            </w:r>
            <w:r w:rsidRPr="00E63662">
              <w:rPr>
                <w:rFonts w:cs="Arial"/>
                <w:sz w:val="23"/>
                <w:szCs w:val="23"/>
              </w:rPr>
              <w:t xml:space="preserve"> November </w:t>
            </w:r>
          </w:p>
        </w:tc>
      </w:tr>
      <w:tr w:rsidR="00AC6474" w:rsidRPr="003D010E" w14:paraId="35A3F485" w14:textId="77777777" w:rsidTr="00AC6474">
        <w:tc>
          <w:tcPr>
            <w:tcW w:w="6345" w:type="dxa"/>
          </w:tcPr>
          <w:p w14:paraId="00103204" w14:textId="77777777" w:rsidR="00AC6474" w:rsidRPr="00A35BA7" w:rsidRDefault="00AC6474" w:rsidP="00A35BA7">
            <w:pPr>
              <w:spacing w:line="360" w:lineRule="auto"/>
              <w:rPr>
                <w:rFonts w:cs="Arial"/>
                <w:sz w:val="23"/>
                <w:szCs w:val="23"/>
              </w:rPr>
            </w:pPr>
            <w:r w:rsidRPr="00A35BA7">
              <w:rPr>
                <w:rFonts w:cs="Arial"/>
                <w:sz w:val="23"/>
                <w:szCs w:val="23"/>
              </w:rPr>
              <w:t>British Council to respond to clarification questions</w:t>
            </w:r>
          </w:p>
        </w:tc>
        <w:tc>
          <w:tcPr>
            <w:tcW w:w="3693" w:type="dxa"/>
          </w:tcPr>
          <w:p w14:paraId="085B67A6" w14:textId="36932E3A" w:rsidR="00AC6474" w:rsidRPr="00A35BA7" w:rsidRDefault="00954B89" w:rsidP="00A35BA7">
            <w:pPr>
              <w:spacing w:line="360" w:lineRule="auto"/>
              <w:rPr>
                <w:rFonts w:cs="Arial"/>
                <w:sz w:val="23"/>
                <w:szCs w:val="23"/>
              </w:rPr>
            </w:pPr>
            <w:r w:rsidRPr="00A35BA7">
              <w:rPr>
                <w:rFonts w:cs="Arial"/>
                <w:sz w:val="23"/>
                <w:szCs w:val="23"/>
              </w:rPr>
              <w:t xml:space="preserve">23.59 GMT </w:t>
            </w:r>
            <w:r w:rsidR="00E63662">
              <w:rPr>
                <w:rFonts w:cs="Arial"/>
                <w:sz w:val="23"/>
                <w:szCs w:val="23"/>
              </w:rPr>
              <w:t>16</w:t>
            </w:r>
            <w:r w:rsidR="00E63662" w:rsidRPr="00E63662">
              <w:rPr>
                <w:rFonts w:cs="Arial"/>
                <w:sz w:val="23"/>
                <w:szCs w:val="23"/>
                <w:vertAlign w:val="superscript"/>
              </w:rPr>
              <w:t>th</w:t>
            </w:r>
            <w:r w:rsidR="00E63662">
              <w:rPr>
                <w:rFonts w:cs="Arial"/>
                <w:sz w:val="23"/>
                <w:szCs w:val="23"/>
              </w:rPr>
              <w:t xml:space="preserve"> </w:t>
            </w:r>
            <w:r w:rsidRPr="00A35BA7">
              <w:rPr>
                <w:rFonts w:cs="Arial"/>
                <w:sz w:val="23"/>
                <w:szCs w:val="23"/>
              </w:rPr>
              <w:t>November 2022</w:t>
            </w:r>
          </w:p>
        </w:tc>
      </w:tr>
      <w:tr w:rsidR="00AC6474" w:rsidRPr="003D010E" w14:paraId="1E0EB469" w14:textId="77777777" w:rsidTr="00AC6474">
        <w:tc>
          <w:tcPr>
            <w:tcW w:w="6345" w:type="dxa"/>
          </w:tcPr>
          <w:p w14:paraId="6DE84FB3" w14:textId="77777777" w:rsidR="00AC6474" w:rsidRPr="00A35BA7" w:rsidRDefault="00AC6474" w:rsidP="00A35BA7">
            <w:pPr>
              <w:spacing w:line="360" w:lineRule="auto"/>
              <w:rPr>
                <w:rFonts w:cs="Arial"/>
                <w:sz w:val="23"/>
                <w:szCs w:val="23"/>
              </w:rPr>
            </w:pPr>
            <w:r w:rsidRPr="00A35BA7">
              <w:rPr>
                <w:rFonts w:cs="Arial"/>
                <w:sz w:val="23"/>
                <w:szCs w:val="23"/>
              </w:rPr>
              <w:t>Deadline for submission of Proposals by potential suppliers (</w:t>
            </w:r>
            <w:r w:rsidRPr="00A35BA7">
              <w:rPr>
                <w:rFonts w:cs="Arial"/>
                <w:b/>
                <w:sz w:val="23"/>
                <w:szCs w:val="23"/>
              </w:rPr>
              <w:t>Response Deadline</w:t>
            </w:r>
            <w:r w:rsidRPr="00A35BA7">
              <w:rPr>
                <w:rFonts w:cs="Arial"/>
                <w:sz w:val="23"/>
                <w:szCs w:val="23"/>
              </w:rPr>
              <w:t xml:space="preserve">) </w:t>
            </w:r>
          </w:p>
        </w:tc>
        <w:tc>
          <w:tcPr>
            <w:tcW w:w="3693" w:type="dxa"/>
          </w:tcPr>
          <w:p w14:paraId="0446754D" w14:textId="2CACC633" w:rsidR="00AC6474" w:rsidRPr="00A35BA7" w:rsidRDefault="00954B89" w:rsidP="00A35BA7">
            <w:pPr>
              <w:spacing w:line="360" w:lineRule="auto"/>
              <w:rPr>
                <w:rFonts w:cs="Arial"/>
                <w:sz w:val="23"/>
                <w:szCs w:val="23"/>
              </w:rPr>
            </w:pPr>
            <w:r w:rsidRPr="00A35BA7">
              <w:rPr>
                <w:rFonts w:cs="Arial"/>
                <w:sz w:val="23"/>
                <w:szCs w:val="23"/>
              </w:rPr>
              <w:t>23.59 GMT</w:t>
            </w:r>
            <w:r w:rsidR="00E63662">
              <w:rPr>
                <w:rFonts w:cs="Arial"/>
                <w:sz w:val="23"/>
                <w:szCs w:val="23"/>
              </w:rPr>
              <w:t xml:space="preserve"> 4</w:t>
            </w:r>
            <w:r w:rsidR="00E63662" w:rsidRPr="00E63662">
              <w:rPr>
                <w:rFonts w:cs="Arial"/>
                <w:sz w:val="23"/>
                <w:szCs w:val="23"/>
                <w:vertAlign w:val="superscript"/>
              </w:rPr>
              <w:t>th</w:t>
            </w:r>
            <w:r w:rsidR="00E63662">
              <w:rPr>
                <w:rFonts w:cs="Arial"/>
                <w:sz w:val="23"/>
                <w:szCs w:val="23"/>
              </w:rPr>
              <w:t xml:space="preserve"> December</w:t>
            </w:r>
            <w:r w:rsidRPr="00A35BA7">
              <w:rPr>
                <w:rFonts w:cs="Arial"/>
                <w:sz w:val="23"/>
                <w:szCs w:val="23"/>
              </w:rPr>
              <w:t xml:space="preserve"> 2022</w:t>
            </w:r>
          </w:p>
        </w:tc>
      </w:tr>
      <w:tr w:rsidR="00AC6474" w:rsidRPr="003D010E" w14:paraId="1B7050B6" w14:textId="77777777" w:rsidTr="00AC6474">
        <w:tc>
          <w:tcPr>
            <w:tcW w:w="6345" w:type="dxa"/>
          </w:tcPr>
          <w:p w14:paraId="70AD5449" w14:textId="77777777" w:rsidR="00AC6474" w:rsidRPr="00A35BA7" w:rsidRDefault="00AC6474" w:rsidP="00A35BA7">
            <w:pPr>
              <w:spacing w:line="360" w:lineRule="auto"/>
              <w:rPr>
                <w:rFonts w:cs="Arial"/>
                <w:sz w:val="23"/>
                <w:szCs w:val="23"/>
              </w:rPr>
            </w:pPr>
            <w:r w:rsidRPr="00A35BA7">
              <w:rPr>
                <w:rFonts w:cs="Arial"/>
                <w:sz w:val="23"/>
                <w:szCs w:val="23"/>
              </w:rPr>
              <w:t>Final Decision</w:t>
            </w:r>
          </w:p>
        </w:tc>
        <w:tc>
          <w:tcPr>
            <w:tcW w:w="3693" w:type="dxa"/>
          </w:tcPr>
          <w:p w14:paraId="448773BF" w14:textId="582CD62F" w:rsidR="00AC6474" w:rsidRPr="00A35BA7" w:rsidRDefault="00E63662" w:rsidP="00A35BA7">
            <w:pPr>
              <w:spacing w:line="360" w:lineRule="auto"/>
              <w:rPr>
                <w:rFonts w:cs="Arial"/>
                <w:sz w:val="23"/>
                <w:szCs w:val="23"/>
              </w:rPr>
            </w:pPr>
            <w:r>
              <w:rPr>
                <w:rFonts w:cs="Arial"/>
                <w:sz w:val="23"/>
                <w:szCs w:val="23"/>
              </w:rPr>
              <w:t>14</w:t>
            </w:r>
            <w:r w:rsidRPr="00E63662">
              <w:rPr>
                <w:rFonts w:cs="Arial"/>
                <w:sz w:val="23"/>
                <w:szCs w:val="23"/>
                <w:vertAlign w:val="superscript"/>
              </w:rPr>
              <w:t>th</w:t>
            </w:r>
            <w:r>
              <w:rPr>
                <w:rFonts w:cs="Arial"/>
                <w:sz w:val="23"/>
                <w:szCs w:val="23"/>
              </w:rPr>
              <w:t xml:space="preserve"> December </w:t>
            </w:r>
            <w:r w:rsidR="00954B89" w:rsidRPr="00A35BA7">
              <w:rPr>
                <w:rFonts w:cs="Arial"/>
                <w:sz w:val="23"/>
                <w:szCs w:val="23"/>
              </w:rPr>
              <w:t>2022</w:t>
            </w:r>
          </w:p>
        </w:tc>
      </w:tr>
    </w:tbl>
    <w:bookmarkEnd w:id="1"/>
    <w:p w14:paraId="265A0B9D" w14:textId="42F167CB" w:rsidR="00473FE6" w:rsidRPr="00E63662" w:rsidRDefault="00A35BA7" w:rsidP="00A35BA7">
      <w:pPr>
        <w:spacing w:afterLines="120" w:after="288" w:line="360" w:lineRule="auto"/>
        <w:rPr>
          <w:rFonts w:cs="Arial"/>
          <w:sz w:val="23"/>
          <w:szCs w:val="23"/>
        </w:rPr>
      </w:pPr>
      <w:r>
        <w:rPr>
          <w:rFonts w:cs="Arial"/>
          <w:b/>
          <w:bCs/>
          <w:color w:val="230859" w:themeColor="text2"/>
          <w:sz w:val="40"/>
          <w:szCs w:val="40"/>
        </w:rPr>
        <w:br/>
      </w:r>
      <w:r w:rsidR="00F232F8" w:rsidRPr="00473FE6">
        <w:rPr>
          <w:rFonts w:cs="Arial"/>
          <w:b/>
          <w:bCs/>
          <w:color w:val="230859" w:themeColor="text2"/>
          <w:sz w:val="40"/>
          <w:szCs w:val="40"/>
        </w:rPr>
        <w:t xml:space="preserve">How to apply </w:t>
      </w:r>
      <w:r w:rsidR="00F232F8">
        <w:rPr>
          <w:rFonts w:cs="Arial"/>
          <w:b/>
          <w:bCs/>
          <w:color w:val="230859" w:themeColor="text2"/>
          <w:sz w:val="46"/>
          <w:szCs w:val="46"/>
        </w:rPr>
        <w:br/>
      </w:r>
      <w:r w:rsidR="00F232F8" w:rsidRPr="00AA6B21">
        <w:rPr>
          <w:rFonts w:cs="Arial"/>
          <w:sz w:val="23"/>
          <w:szCs w:val="23"/>
        </w:rPr>
        <w:t xml:space="preserve">To access the full information, supporting documents, submit questions and submit a supplier response for this opportunity, please register and/or sign into the platform </w:t>
      </w:r>
      <w:hyperlink r:id="rId9" w:history="1">
        <w:r w:rsidR="00F232F8" w:rsidRPr="00AA6B21">
          <w:rPr>
            <w:rStyle w:val="Hyperlink"/>
            <w:rFonts w:cs="Arial"/>
            <w:b/>
            <w:bCs/>
            <w:sz w:val="23"/>
            <w:szCs w:val="23"/>
          </w:rPr>
          <w:t>In-Tend Host</w:t>
        </w:r>
      </w:hyperlink>
      <w:r w:rsidR="00F232F8" w:rsidRPr="00AA6B21">
        <w:rPr>
          <w:rFonts w:cs="Arial"/>
          <w:b/>
          <w:bCs/>
          <w:sz w:val="23"/>
          <w:szCs w:val="23"/>
        </w:rPr>
        <w:t xml:space="preserve">. </w:t>
      </w:r>
      <w:r w:rsidRPr="00AA6B21">
        <w:rPr>
          <w:rFonts w:cs="Arial"/>
          <w:b/>
          <w:bCs/>
          <w:sz w:val="23"/>
          <w:szCs w:val="23"/>
        </w:rPr>
        <w:t xml:space="preserve">   </w:t>
      </w:r>
      <w:r w:rsidRPr="00AA6B21">
        <w:rPr>
          <w:rFonts w:cs="Arial"/>
          <w:b/>
          <w:bCs/>
          <w:sz w:val="23"/>
          <w:szCs w:val="23"/>
        </w:rPr>
        <w:br/>
      </w:r>
      <w:r w:rsidR="00F232F8" w:rsidRPr="00AA6B21">
        <w:rPr>
          <w:rFonts w:cs="Arial"/>
          <w:sz w:val="23"/>
          <w:szCs w:val="23"/>
        </w:rPr>
        <w:t xml:space="preserve">This Next Generation </w:t>
      </w:r>
      <w:r w:rsidR="00E63662">
        <w:rPr>
          <w:rFonts w:cs="Arial"/>
          <w:sz w:val="23"/>
          <w:szCs w:val="23"/>
        </w:rPr>
        <w:t>Albania</w:t>
      </w:r>
      <w:r w:rsidR="005C2E5F" w:rsidRPr="00AA6B21">
        <w:rPr>
          <w:rFonts w:cs="Arial"/>
          <w:sz w:val="23"/>
          <w:szCs w:val="23"/>
        </w:rPr>
        <w:t xml:space="preserve"> </w:t>
      </w:r>
      <w:r w:rsidR="00F232F8" w:rsidRPr="00AA6B21">
        <w:rPr>
          <w:rFonts w:cs="Arial"/>
          <w:sz w:val="23"/>
          <w:szCs w:val="23"/>
        </w:rPr>
        <w:t>opportunity is registered under In-Tend number:</w:t>
      </w:r>
      <w:r w:rsidR="00E63662">
        <w:rPr>
          <w:rFonts w:ascii="Segoe UI" w:eastAsia="Times New Roman" w:hAnsi="Segoe UI" w:cs="Segoe UI"/>
          <w:sz w:val="23"/>
          <w:szCs w:val="23"/>
          <w:lang w:eastAsia="en-GB"/>
        </w:rPr>
        <w:t xml:space="preserve"> </w:t>
      </w:r>
      <w:r w:rsidR="00E63662" w:rsidRPr="00E63662">
        <w:rPr>
          <w:rFonts w:asciiTheme="majorHAnsi" w:eastAsia="Times New Roman" w:hAnsiTheme="majorHAnsi" w:cstheme="majorHAnsi"/>
          <w:b/>
          <w:bCs/>
          <w:sz w:val="23"/>
          <w:szCs w:val="23"/>
          <w:lang w:eastAsia="en-GB"/>
        </w:rPr>
        <w:t>BC/02676</w:t>
      </w:r>
      <w:r w:rsidR="00E63662">
        <w:rPr>
          <w:rFonts w:eastAsia="Times New Roman" w:cstheme="majorHAnsi"/>
          <w:b/>
          <w:bCs/>
          <w:sz w:val="23"/>
          <w:szCs w:val="23"/>
          <w:lang w:eastAsia="en-GB"/>
        </w:rPr>
        <w:br/>
      </w:r>
      <w:r w:rsidR="00F232F8" w:rsidRPr="00AA6B21">
        <w:rPr>
          <w:rFonts w:cs="Arial"/>
          <w:sz w:val="23"/>
          <w:szCs w:val="23"/>
        </w:rPr>
        <w:t>If you have any queries regarding the In-Tend Host platform, please contact</w:t>
      </w:r>
      <w:r w:rsidRPr="00AA6B21">
        <w:rPr>
          <w:rFonts w:cs="Arial"/>
          <w:sz w:val="23"/>
          <w:szCs w:val="23"/>
        </w:rPr>
        <w:t xml:space="preserve"> </w:t>
      </w:r>
      <w:hyperlink r:id="rId10" w:history="1">
        <w:r w:rsidRPr="00AA6B21">
          <w:rPr>
            <w:rStyle w:val="Hyperlink"/>
            <w:rFonts w:cs="Arial"/>
            <w:sz w:val="23"/>
            <w:szCs w:val="23"/>
          </w:rPr>
          <w:t>rhea.bhandari@britishcouncil.org</w:t>
        </w:r>
      </w:hyperlink>
      <w:r w:rsidR="00F232F8" w:rsidRPr="00AA6B21">
        <w:rPr>
          <w:rFonts w:cs="Arial"/>
          <w:sz w:val="23"/>
          <w:szCs w:val="23"/>
        </w:rPr>
        <w:t xml:space="preserve"> </w:t>
      </w:r>
      <w:bookmarkEnd w:id="0"/>
    </w:p>
    <w:sectPr w:rsidR="00473FE6" w:rsidRPr="00E63662" w:rsidSect="000E486C">
      <w:headerReference w:type="default" r:id="rId11"/>
      <w:headerReference w:type="first" r:id="rId12"/>
      <w:footerReference w:type="first" r:id="rId1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BC39" w14:textId="77777777" w:rsidR="00760EC0" w:rsidRDefault="00760EC0" w:rsidP="004E0F0F">
      <w:pPr>
        <w:spacing w:after="0" w:line="240" w:lineRule="auto"/>
      </w:pPr>
      <w:r>
        <w:separator/>
      </w:r>
    </w:p>
  </w:endnote>
  <w:endnote w:type="continuationSeparator" w:id="0">
    <w:p w14:paraId="7FDF7A25" w14:textId="77777777" w:rsidR="00760EC0" w:rsidRDefault="00760EC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embedRegular r:id="rId1" w:fontKey="{1769C34C-533C-4437-BABF-0043A1F874D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AA81"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967E" w14:textId="77777777" w:rsidR="00760EC0" w:rsidRDefault="00760EC0" w:rsidP="004E0F0F">
      <w:pPr>
        <w:spacing w:after="0" w:line="240" w:lineRule="auto"/>
      </w:pPr>
      <w:r>
        <w:separator/>
      </w:r>
    </w:p>
  </w:footnote>
  <w:footnote w:type="continuationSeparator" w:id="0">
    <w:p w14:paraId="034BE41A" w14:textId="77777777" w:rsidR="00760EC0" w:rsidRDefault="00760EC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BDC0"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31512BD9" wp14:editId="120BF62E">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F46815"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84E0" w14:textId="77777777" w:rsidR="003855BB" w:rsidRDefault="003855BB">
    <w:pPr>
      <w:pStyle w:val="Header"/>
    </w:pPr>
    <w:r>
      <w:rPr>
        <w:noProof/>
        <w:lang w:val="en-US"/>
      </w:rPr>
      <w:drawing>
        <wp:anchor distT="0" distB="424815" distL="114300" distR="114300" simplePos="0" relativeHeight="251670528" behindDoc="0" locked="0" layoutInCell="1" allowOverlap="1" wp14:anchorId="6FF00E16" wp14:editId="675957DA">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062"/>
    <w:multiLevelType w:val="hybridMultilevel"/>
    <w:tmpl w:val="87AC54E8"/>
    <w:lvl w:ilvl="0" w:tplc="5108FA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03E7D"/>
    <w:multiLevelType w:val="hybridMultilevel"/>
    <w:tmpl w:val="FC8C34FA"/>
    <w:lvl w:ilvl="0" w:tplc="C714FF4E">
      <w:numFmt w:val="bullet"/>
      <w:lvlText w:val="•"/>
      <w:lvlJc w:val="left"/>
      <w:pPr>
        <w:ind w:left="720" w:hanging="360"/>
      </w:pPr>
      <w:rPr>
        <w:rFonts w:ascii="Arial" w:eastAsiaTheme="minorEastAsia" w:hAnsi="Arial" w:cs="Arial" w:hint="default"/>
        <w:color w:val="230859"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91DF1"/>
    <w:multiLevelType w:val="hybridMultilevel"/>
    <w:tmpl w:val="E1C86402"/>
    <w:lvl w:ilvl="0" w:tplc="5108FA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74AA9"/>
    <w:multiLevelType w:val="hybridMultilevel"/>
    <w:tmpl w:val="CF7E993C"/>
    <w:lvl w:ilvl="0" w:tplc="5108FA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737A3"/>
    <w:multiLevelType w:val="hybridMultilevel"/>
    <w:tmpl w:val="1FA8DC1E"/>
    <w:lvl w:ilvl="0" w:tplc="E858FB2E">
      <w:numFmt w:val="bullet"/>
      <w:lvlText w:val="•"/>
      <w:lvlJc w:val="left"/>
      <w:pPr>
        <w:ind w:left="720" w:hanging="360"/>
      </w:pPr>
      <w:rPr>
        <w:rFonts w:ascii="Arial" w:eastAsiaTheme="minorEastAsia" w:hAnsi="Arial" w:cs="Arial" w:hint="default"/>
        <w:color w:val="230859"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1666F"/>
    <w:multiLevelType w:val="hybridMultilevel"/>
    <w:tmpl w:val="F1281560"/>
    <w:lvl w:ilvl="0" w:tplc="C714FF4E">
      <w:numFmt w:val="bullet"/>
      <w:lvlText w:val="•"/>
      <w:lvlJc w:val="left"/>
      <w:pPr>
        <w:ind w:left="720" w:hanging="360"/>
      </w:pPr>
      <w:rPr>
        <w:rFonts w:ascii="Arial" w:eastAsiaTheme="minorEastAsia" w:hAnsi="Arial" w:cs="Arial" w:hint="default"/>
        <w:color w:val="230859"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96493C"/>
    <w:multiLevelType w:val="hybridMultilevel"/>
    <w:tmpl w:val="8730BD58"/>
    <w:lvl w:ilvl="0" w:tplc="5108FA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42777"/>
    <w:multiLevelType w:val="hybridMultilevel"/>
    <w:tmpl w:val="59A0B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9" w15:restartNumberingAfterBreak="0">
    <w:nsid w:val="5D513C68"/>
    <w:multiLevelType w:val="hybridMultilevel"/>
    <w:tmpl w:val="69BE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D619D"/>
    <w:multiLevelType w:val="hybridMultilevel"/>
    <w:tmpl w:val="FD8EBB1E"/>
    <w:lvl w:ilvl="0" w:tplc="5108FA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9"/>
  </w:num>
  <w:num w:numId="5">
    <w:abstractNumId w:val="1"/>
  </w:num>
  <w:num w:numId="6">
    <w:abstractNumId w:val="6"/>
  </w:num>
  <w:num w:numId="7">
    <w:abstractNumId w:val="7"/>
  </w:num>
  <w:num w:numId="8">
    <w:abstractNumId w:val="11"/>
  </w:num>
  <w:num w:numId="9">
    <w:abstractNumId w:val="0"/>
  </w:num>
  <w:num w:numId="10">
    <w:abstractNumId w:val="2"/>
  </w:num>
  <w:num w:numId="11">
    <w:abstractNumId w:val="4"/>
  </w:num>
  <w:num w:numId="12">
    <w:abstractNumId w:val="3"/>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3F"/>
    <w:rsid w:val="000132A1"/>
    <w:rsid w:val="000171EB"/>
    <w:rsid w:val="00060FC5"/>
    <w:rsid w:val="00092917"/>
    <w:rsid w:val="000E43B1"/>
    <w:rsid w:val="000E486C"/>
    <w:rsid w:val="000E7F5E"/>
    <w:rsid w:val="0013070B"/>
    <w:rsid w:val="001565A5"/>
    <w:rsid w:val="00160770"/>
    <w:rsid w:val="00166ED8"/>
    <w:rsid w:val="00187F9D"/>
    <w:rsid w:val="001A0287"/>
    <w:rsid w:val="001A2060"/>
    <w:rsid w:val="001B2E1D"/>
    <w:rsid w:val="001F2942"/>
    <w:rsid w:val="001F5C75"/>
    <w:rsid w:val="00200217"/>
    <w:rsid w:val="00214911"/>
    <w:rsid w:val="00215EC6"/>
    <w:rsid w:val="00227C5A"/>
    <w:rsid w:val="002542F1"/>
    <w:rsid w:val="00271072"/>
    <w:rsid w:val="00280147"/>
    <w:rsid w:val="002810E2"/>
    <w:rsid w:val="00297B4F"/>
    <w:rsid w:val="002C0274"/>
    <w:rsid w:val="003029E5"/>
    <w:rsid w:val="003140C7"/>
    <w:rsid w:val="00357565"/>
    <w:rsid w:val="0038083F"/>
    <w:rsid w:val="00381494"/>
    <w:rsid w:val="003855BB"/>
    <w:rsid w:val="003E06BA"/>
    <w:rsid w:val="003F3A5C"/>
    <w:rsid w:val="003F5CB2"/>
    <w:rsid w:val="0040649C"/>
    <w:rsid w:val="0041485A"/>
    <w:rsid w:val="00445A85"/>
    <w:rsid w:val="004676D3"/>
    <w:rsid w:val="00473FE6"/>
    <w:rsid w:val="004E0F0F"/>
    <w:rsid w:val="004F0981"/>
    <w:rsid w:val="004F3BA9"/>
    <w:rsid w:val="004F3CAA"/>
    <w:rsid w:val="004F7ED5"/>
    <w:rsid w:val="00505A09"/>
    <w:rsid w:val="005155AE"/>
    <w:rsid w:val="00527637"/>
    <w:rsid w:val="00530467"/>
    <w:rsid w:val="0058704A"/>
    <w:rsid w:val="005900A5"/>
    <w:rsid w:val="005B2BC2"/>
    <w:rsid w:val="005C2E5F"/>
    <w:rsid w:val="0062643D"/>
    <w:rsid w:val="00640FA4"/>
    <w:rsid w:val="00644CC4"/>
    <w:rsid w:val="0067191C"/>
    <w:rsid w:val="00677C6D"/>
    <w:rsid w:val="00680380"/>
    <w:rsid w:val="0069142A"/>
    <w:rsid w:val="006C2629"/>
    <w:rsid w:val="006F17D0"/>
    <w:rsid w:val="00743AE8"/>
    <w:rsid w:val="00760EC0"/>
    <w:rsid w:val="0078055D"/>
    <w:rsid w:val="007B6BFD"/>
    <w:rsid w:val="007E4D04"/>
    <w:rsid w:val="00804D01"/>
    <w:rsid w:val="00806207"/>
    <w:rsid w:val="008320AC"/>
    <w:rsid w:val="008529F8"/>
    <w:rsid w:val="008942F1"/>
    <w:rsid w:val="008A4222"/>
    <w:rsid w:val="008B029C"/>
    <w:rsid w:val="008C0629"/>
    <w:rsid w:val="00921D17"/>
    <w:rsid w:val="0093045E"/>
    <w:rsid w:val="00942B47"/>
    <w:rsid w:val="00945F08"/>
    <w:rsid w:val="00954B89"/>
    <w:rsid w:val="009837E5"/>
    <w:rsid w:val="009F06E4"/>
    <w:rsid w:val="009F0B50"/>
    <w:rsid w:val="00A20B81"/>
    <w:rsid w:val="00A33158"/>
    <w:rsid w:val="00A35BA7"/>
    <w:rsid w:val="00A46111"/>
    <w:rsid w:val="00A55B8E"/>
    <w:rsid w:val="00A7218F"/>
    <w:rsid w:val="00A75B0F"/>
    <w:rsid w:val="00A82D03"/>
    <w:rsid w:val="00AA6B21"/>
    <w:rsid w:val="00AB21F3"/>
    <w:rsid w:val="00AC6474"/>
    <w:rsid w:val="00AD166D"/>
    <w:rsid w:val="00AF1C59"/>
    <w:rsid w:val="00B030FD"/>
    <w:rsid w:val="00B13927"/>
    <w:rsid w:val="00B227CE"/>
    <w:rsid w:val="00B26E40"/>
    <w:rsid w:val="00B30BDC"/>
    <w:rsid w:val="00B36857"/>
    <w:rsid w:val="00B461A7"/>
    <w:rsid w:val="00B53093"/>
    <w:rsid w:val="00B6727E"/>
    <w:rsid w:val="00BC44E6"/>
    <w:rsid w:val="00BC46D2"/>
    <w:rsid w:val="00BC4CC5"/>
    <w:rsid w:val="00BF05D6"/>
    <w:rsid w:val="00C1299F"/>
    <w:rsid w:val="00C17F56"/>
    <w:rsid w:val="00C41310"/>
    <w:rsid w:val="00C42688"/>
    <w:rsid w:val="00C5378A"/>
    <w:rsid w:val="00C67B9C"/>
    <w:rsid w:val="00CE1C5C"/>
    <w:rsid w:val="00D01DA2"/>
    <w:rsid w:val="00D2353B"/>
    <w:rsid w:val="00D61DDB"/>
    <w:rsid w:val="00DA566C"/>
    <w:rsid w:val="00DF4FAB"/>
    <w:rsid w:val="00E47370"/>
    <w:rsid w:val="00E57FE2"/>
    <w:rsid w:val="00E63662"/>
    <w:rsid w:val="00E9411F"/>
    <w:rsid w:val="00E96DCD"/>
    <w:rsid w:val="00ED0DD6"/>
    <w:rsid w:val="00F232F8"/>
    <w:rsid w:val="00F3122A"/>
    <w:rsid w:val="00F5249D"/>
    <w:rsid w:val="00F530BF"/>
    <w:rsid w:val="00F672E8"/>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D5B17"/>
  <w14:defaultImageDpi w14:val="330"/>
  <w15:docId w15:val="{06A55FEF-D185-4E59-817F-88157F13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rsid w:val="008320AC"/>
  </w:style>
  <w:style w:type="paragraph" w:styleId="ListNumber">
    <w:name w:val="List Number"/>
    <w:basedOn w:val="Normal"/>
    <w:uiPriority w:val="99"/>
    <w:unhideWhenUsed/>
    <w:qFormat/>
    <w:rsid w:val="003F5CB2"/>
    <w:pPr>
      <w:numPr>
        <w:numId w:val="3"/>
      </w:numPr>
      <w:ind w:left="720" w:hanging="357"/>
    </w:pPr>
  </w:style>
  <w:style w:type="paragraph" w:customStyle="1" w:styleId="Default">
    <w:name w:val="Default"/>
    <w:rsid w:val="0038083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40FA4"/>
    <w:rPr>
      <w:color w:val="FF00C8" w:themeColor="hyperlink"/>
      <w:u w:val="single"/>
    </w:rPr>
  </w:style>
  <w:style w:type="character" w:customStyle="1" w:styleId="normaltextrun">
    <w:name w:val="normaltextrun"/>
    <w:basedOn w:val="DefaultParagraphFont"/>
    <w:rsid w:val="00E63662"/>
  </w:style>
  <w:style w:type="character" w:customStyle="1" w:styleId="eop">
    <w:name w:val="eop"/>
    <w:basedOn w:val="DefaultParagraphFont"/>
    <w:rsid w:val="00E6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81033">
      <w:bodyDiv w:val="1"/>
      <w:marLeft w:val="0"/>
      <w:marRight w:val="0"/>
      <w:marTop w:val="0"/>
      <w:marBottom w:val="0"/>
      <w:divBdr>
        <w:top w:val="none" w:sz="0" w:space="0" w:color="auto"/>
        <w:left w:val="none" w:sz="0" w:space="0" w:color="auto"/>
        <w:bottom w:val="none" w:sz="0" w:space="0" w:color="auto"/>
        <w:right w:val="none" w:sz="0" w:space="0" w:color="auto"/>
      </w:divBdr>
      <w:divsChild>
        <w:div w:id="1062630961">
          <w:marLeft w:val="0"/>
          <w:marRight w:val="0"/>
          <w:marTop w:val="0"/>
          <w:marBottom w:val="0"/>
          <w:divBdr>
            <w:top w:val="none" w:sz="0" w:space="0" w:color="auto"/>
            <w:left w:val="none" w:sz="0" w:space="0" w:color="auto"/>
            <w:bottom w:val="none" w:sz="0" w:space="0" w:color="auto"/>
            <w:right w:val="none" w:sz="0" w:space="0" w:color="auto"/>
          </w:divBdr>
        </w:div>
      </w:divsChild>
    </w:div>
    <w:div w:id="2045401693">
      <w:bodyDiv w:val="1"/>
      <w:marLeft w:val="0"/>
      <w:marRight w:val="0"/>
      <w:marTop w:val="0"/>
      <w:marBottom w:val="0"/>
      <w:divBdr>
        <w:top w:val="none" w:sz="0" w:space="0" w:color="auto"/>
        <w:left w:val="none" w:sz="0" w:space="0" w:color="auto"/>
        <w:bottom w:val="none" w:sz="0" w:space="0" w:color="auto"/>
        <w:right w:val="none" w:sz="0" w:space="0" w:color="auto"/>
      </w:divBdr>
      <w:divsChild>
        <w:div w:id="1017999064">
          <w:marLeft w:val="0"/>
          <w:marRight w:val="0"/>
          <w:marTop w:val="0"/>
          <w:marBottom w:val="0"/>
          <w:divBdr>
            <w:top w:val="none" w:sz="0" w:space="0" w:color="auto"/>
            <w:left w:val="none" w:sz="0" w:space="0" w:color="auto"/>
            <w:bottom w:val="none" w:sz="0" w:space="0" w:color="auto"/>
            <w:right w:val="none" w:sz="0" w:space="0" w:color="auto"/>
          </w:divBdr>
        </w:div>
        <w:div w:id="491136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about-us/our-values/equality-diversity-inclus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ea.bhandari@britishcouncil.org" TargetMode="External"/><Relationship Id="rId4" Type="http://schemas.openxmlformats.org/officeDocument/2006/relationships/settings" Target="settings.xml"/><Relationship Id="rId9" Type="http://schemas.openxmlformats.org/officeDocument/2006/relationships/hyperlink" Target="https://in-tendhost.co.uk/britishcouncil/aspx/Home"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9</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Bhandari, Rhea (Strategy &amp; Planning)</dc:creator>
  <cp:keywords/>
  <dc:description/>
  <cp:lastModifiedBy>Bhandari, Rhea (Cultural Engagement)</cp:lastModifiedBy>
  <cp:revision>2</cp:revision>
  <cp:lastPrinted>2022-10-26T15:42:00Z</cp:lastPrinted>
  <dcterms:created xsi:type="dcterms:W3CDTF">2022-11-04T14:34:00Z</dcterms:created>
  <dcterms:modified xsi:type="dcterms:W3CDTF">2022-11-04T14:34:00Z</dcterms:modified>
</cp:coreProperties>
</file>