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04" w:type="dxa"/>
        <w:tblBorders>
          <w:top w:val="single" w:sz="18" w:space="0" w:color="auto"/>
        </w:tblBorders>
        <w:tblLook w:val="0000" w:firstRow="0" w:lastRow="0" w:firstColumn="0" w:lastColumn="0" w:noHBand="0" w:noVBand="0"/>
      </w:tblPr>
      <w:tblGrid>
        <w:gridCol w:w="2502"/>
        <w:gridCol w:w="2502"/>
        <w:gridCol w:w="2500"/>
        <w:gridCol w:w="2500"/>
      </w:tblGrid>
      <w:tr w:rsidR="008D0413" w:rsidRPr="0030391E" w:rsidTr="008D0413">
        <w:trPr>
          <w:trHeight w:val="557"/>
        </w:trPr>
        <w:tc>
          <w:tcPr>
            <w:tcW w:w="10004" w:type="dxa"/>
            <w:gridSpan w:val="4"/>
            <w:tcBorders>
              <w:top w:val="double" w:sz="4" w:space="0" w:color="auto"/>
              <w:left w:val="double" w:sz="4" w:space="0" w:color="auto"/>
              <w:bottom w:val="double" w:sz="4" w:space="0" w:color="auto"/>
              <w:right w:val="double" w:sz="4" w:space="0" w:color="auto"/>
            </w:tcBorders>
            <w:vAlign w:val="center"/>
          </w:tcPr>
          <w:p w:rsidR="008D0413" w:rsidRPr="0030391E" w:rsidRDefault="008D0413" w:rsidP="003005AC">
            <w:pPr>
              <w:ind w:left="-27"/>
              <w:rPr>
                <w:sz w:val="24"/>
                <w:szCs w:val="24"/>
                <w:lang w:val="en-US"/>
              </w:rPr>
            </w:pPr>
            <w:bookmarkStart w:id="0" w:name="_GoBack"/>
            <w:bookmarkEnd w:id="0"/>
            <w:r w:rsidRPr="0030391E">
              <w:rPr>
                <w:b/>
                <w:bCs/>
                <w:color w:val="333333"/>
                <w:sz w:val="24"/>
                <w:szCs w:val="24"/>
              </w:rPr>
              <w:t xml:space="preserve">Project Title – </w:t>
            </w:r>
            <w:r w:rsidRPr="0030391E">
              <w:rPr>
                <w:bCs/>
                <w:color w:val="333333"/>
                <w:sz w:val="24"/>
                <w:szCs w:val="24"/>
              </w:rPr>
              <w:t>MyJustice</w:t>
            </w:r>
          </w:p>
        </w:tc>
      </w:tr>
      <w:tr w:rsidR="008D0413" w:rsidRPr="0030391E" w:rsidTr="008D0413">
        <w:trPr>
          <w:trHeight w:val="1432"/>
        </w:trPr>
        <w:tc>
          <w:tcPr>
            <w:tcW w:w="10004" w:type="dxa"/>
            <w:gridSpan w:val="4"/>
            <w:tcBorders>
              <w:top w:val="double" w:sz="4" w:space="0" w:color="auto"/>
              <w:left w:val="double" w:sz="4" w:space="0" w:color="auto"/>
              <w:right w:val="double" w:sz="4" w:space="0" w:color="auto"/>
            </w:tcBorders>
          </w:tcPr>
          <w:p w:rsidR="00CA356B" w:rsidRDefault="00CA356B" w:rsidP="003005AC">
            <w:pPr>
              <w:ind w:left="-27"/>
              <w:rPr>
                <w:b/>
                <w:color w:val="333333"/>
                <w:sz w:val="24"/>
                <w:szCs w:val="24"/>
              </w:rPr>
            </w:pPr>
          </w:p>
          <w:p w:rsidR="008D0413" w:rsidRDefault="008D0413" w:rsidP="003005AC">
            <w:pPr>
              <w:ind w:left="-27"/>
              <w:rPr>
                <w:bCs/>
                <w:color w:val="333333"/>
                <w:sz w:val="24"/>
                <w:szCs w:val="24"/>
              </w:rPr>
            </w:pPr>
            <w:r w:rsidRPr="0030391E">
              <w:rPr>
                <w:b/>
                <w:color w:val="333333"/>
                <w:sz w:val="24"/>
                <w:szCs w:val="24"/>
              </w:rPr>
              <w:t>Project Summary</w:t>
            </w:r>
            <w:r w:rsidRPr="0030391E">
              <w:rPr>
                <w:color w:val="333333"/>
                <w:sz w:val="24"/>
                <w:szCs w:val="24"/>
              </w:rPr>
              <w:t xml:space="preserve"> - </w:t>
            </w:r>
            <w:r w:rsidRPr="0030391E">
              <w:rPr>
                <w:bCs/>
                <w:color w:val="333333"/>
                <w:sz w:val="24"/>
                <w:szCs w:val="24"/>
              </w:rPr>
              <w:t xml:space="preserve">MyJustice is a four year access to justice programme implemented by the British Council as a result of funding from the </w:t>
            </w:r>
            <w:r w:rsidR="005D5546">
              <w:rPr>
                <w:bCs/>
                <w:color w:val="333333"/>
                <w:sz w:val="24"/>
                <w:szCs w:val="24"/>
              </w:rPr>
              <w:t>Euro</w:t>
            </w:r>
            <w:r w:rsidRPr="0030391E">
              <w:rPr>
                <w:bCs/>
                <w:color w:val="333333"/>
                <w:sz w:val="24"/>
                <w:szCs w:val="24"/>
              </w:rPr>
              <w:t>pean Union (EU) thorough a Delegation Agreement. The programme</w:t>
            </w:r>
            <w:r>
              <w:rPr>
                <w:bCs/>
                <w:color w:val="333333"/>
                <w:sz w:val="24"/>
                <w:szCs w:val="24"/>
              </w:rPr>
              <w:t xml:space="preserve">, which </w:t>
            </w:r>
            <w:r w:rsidRPr="0030391E">
              <w:rPr>
                <w:bCs/>
                <w:color w:val="333333"/>
                <w:sz w:val="24"/>
                <w:szCs w:val="24"/>
              </w:rPr>
              <w:t>commenced on 1 August 2015 and has a budget of EUR 20.01 million, aims to equip the people of Myanmar with the knowledge, confidence and opportunities to resolve conflicts fairly, equitably and justly. Working together with local communities, MyJustice seeks to have a lasting impact on the way disputes are resolved and justice is delivered, especially for the poor, vulnerable and marginalised.</w:t>
            </w:r>
          </w:p>
          <w:p w:rsidR="008D0413" w:rsidRPr="0030391E" w:rsidRDefault="008D0413" w:rsidP="00CA356B">
            <w:pPr>
              <w:rPr>
                <w:sz w:val="24"/>
                <w:szCs w:val="24"/>
                <w:lang w:val="en-US"/>
              </w:rPr>
            </w:pPr>
          </w:p>
        </w:tc>
      </w:tr>
      <w:tr w:rsidR="008D0413" w:rsidRPr="0030391E" w:rsidTr="008D0413">
        <w:trPr>
          <w:trHeight w:val="871"/>
        </w:trPr>
        <w:tc>
          <w:tcPr>
            <w:tcW w:w="2502" w:type="dxa"/>
            <w:tcBorders>
              <w:top w:val="single" w:sz="4" w:space="0" w:color="auto"/>
              <w:left w:val="double" w:sz="4" w:space="0" w:color="auto"/>
            </w:tcBorders>
          </w:tcPr>
          <w:p w:rsidR="008D0413" w:rsidRPr="0030391E" w:rsidRDefault="008D0413" w:rsidP="003005AC">
            <w:pPr>
              <w:ind w:left="-27"/>
              <w:rPr>
                <w:b/>
                <w:bCs/>
                <w:color w:val="333333"/>
                <w:sz w:val="24"/>
                <w:szCs w:val="24"/>
              </w:rPr>
            </w:pPr>
            <w:r w:rsidRPr="0030391E">
              <w:rPr>
                <w:b/>
                <w:bCs/>
                <w:color w:val="333333"/>
                <w:sz w:val="24"/>
                <w:szCs w:val="24"/>
              </w:rPr>
              <w:t>Title of the contract/grant awarded</w:t>
            </w:r>
          </w:p>
        </w:tc>
        <w:tc>
          <w:tcPr>
            <w:tcW w:w="2502" w:type="dxa"/>
            <w:tcBorders>
              <w:top w:val="single" w:sz="4" w:space="0" w:color="auto"/>
            </w:tcBorders>
          </w:tcPr>
          <w:p w:rsidR="008D0413" w:rsidRPr="0030391E" w:rsidRDefault="008D0413" w:rsidP="003005AC">
            <w:pPr>
              <w:ind w:left="-27"/>
              <w:rPr>
                <w:sz w:val="24"/>
                <w:szCs w:val="24"/>
                <w:lang w:val="en-US"/>
              </w:rPr>
            </w:pPr>
            <w:r w:rsidRPr="0030391E">
              <w:rPr>
                <w:b/>
                <w:bCs/>
                <w:color w:val="333333"/>
                <w:sz w:val="24"/>
                <w:szCs w:val="24"/>
              </w:rPr>
              <w:t>Nature and purpose of the contract/grant</w:t>
            </w:r>
          </w:p>
        </w:tc>
        <w:tc>
          <w:tcPr>
            <w:tcW w:w="2500" w:type="dxa"/>
            <w:tcBorders>
              <w:top w:val="single" w:sz="4" w:space="0" w:color="auto"/>
            </w:tcBorders>
          </w:tcPr>
          <w:p w:rsidR="008D0413" w:rsidRPr="0030391E" w:rsidRDefault="008D0413" w:rsidP="003005AC">
            <w:pPr>
              <w:ind w:left="-27"/>
              <w:rPr>
                <w:sz w:val="24"/>
                <w:szCs w:val="24"/>
                <w:lang w:val="en-US"/>
              </w:rPr>
            </w:pPr>
            <w:r w:rsidRPr="0030391E">
              <w:rPr>
                <w:b/>
                <w:color w:val="333333"/>
                <w:sz w:val="24"/>
                <w:szCs w:val="24"/>
              </w:rPr>
              <w:t>Name and locality of the Contractor or Grant Beneficiary</w:t>
            </w:r>
          </w:p>
        </w:tc>
        <w:tc>
          <w:tcPr>
            <w:tcW w:w="2500" w:type="dxa"/>
            <w:tcBorders>
              <w:top w:val="single" w:sz="4" w:space="0" w:color="auto"/>
              <w:right w:val="double" w:sz="4" w:space="0" w:color="auto"/>
            </w:tcBorders>
          </w:tcPr>
          <w:p w:rsidR="008D0413" w:rsidRPr="0030391E" w:rsidRDefault="008D0413" w:rsidP="003005AC">
            <w:pPr>
              <w:ind w:left="-27"/>
              <w:rPr>
                <w:sz w:val="24"/>
                <w:szCs w:val="24"/>
                <w:lang w:val="en-US"/>
              </w:rPr>
            </w:pPr>
            <w:r w:rsidRPr="0030391E">
              <w:rPr>
                <w:b/>
                <w:color w:val="333333"/>
                <w:sz w:val="24"/>
                <w:szCs w:val="24"/>
              </w:rPr>
              <w:t>Amount of the contract/project</w:t>
            </w:r>
          </w:p>
        </w:tc>
      </w:tr>
      <w:tr w:rsidR="00B01106" w:rsidRPr="0030391E" w:rsidTr="008D0413">
        <w:trPr>
          <w:trHeight w:val="833"/>
        </w:trPr>
        <w:tc>
          <w:tcPr>
            <w:tcW w:w="2502" w:type="dxa"/>
            <w:tcBorders>
              <w:top w:val="single" w:sz="4" w:space="0" w:color="auto"/>
              <w:left w:val="double" w:sz="4" w:space="0" w:color="auto"/>
            </w:tcBorders>
            <w:vAlign w:val="center"/>
          </w:tcPr>
          <w:p w:rsidR="00B01106" w:rsidRPr="00B65A49" w:rsidRDefault="001A5E2D" w:rsidP="003005AC">
            <w:pPr>
              <w:ind w:left="-27"/>
              <w:rPr>
                <w:sz w:val="24"/>
                <w:szCs w:val="24"/>
                <w:lang w:val="en-US"/>
              </w:rPr>
            </w:pPr>
            <w:r w:rsidRPr="00B65A49">
              <w:rPr>
                <w:sz w:val="24"/>
                <w:szCs w:val="24"/>
                <w:lang w:val="en-US"/>
              </w:rPr>
              <w:t>The Official launch and inaugural assemblies of the independent lawyers' Association of Myanmar ( ILAM)</w:t>
            </w:r>
            <w:r w:rsidR="001A5A89">
              <w:rPr>
                <w:sz w:val="24"/>
                <w:szCs w:val="24"/>
                <w:lang w:val="en-US"/>
              </w:rPr>
              <w:t xml:space="preserve"> - Grant</w:t>
            </w:r>
          </w:p>
        </w:tc>
        <w:tc>
          <w:tcPr>
            <w:tcW w:w="2502" w:type="dxa"/>
            <w:tcBorders>
              <w:top w:val="single" w:sz="4" w:space="0" w:color="auto"/>
            </w:tcBorders>
            <w:vAlign w:val="center"/>
          </w:tcPr>
          <w:p w:rsidR="00B01106" w:rsidRPr="00B65A49" w:rsidRDefault="00E91B29" w:rsidP="00E91B29">
            <w:pPr>
              <w:rPr>
                <w:sz w:val="24"/>
                <w:szCs w:val="24"/>
                <w:lang w:val="en-US"/>
              </w:rPr>
            </w:pPr>
            <w:r w:rsidRPr="00B65A49">
              <w:rPr>
                <w:sz w:val="24"/>
                <w:szCs w:val="24"/>
                <w:lang w:val="en-US"/>
              </w:rPr>
              <w:t xml:space="preserve">Support for the official launch of independent lawyers Association </w:t>
            </w:r>
          </w:p>
        </w:tc>
        <w:tc>
          <w:tcPr>
            <w:tcW w:w="2500" w:type="dxa"/>
            <w:tcBorders>
              <w:top w:val="single" w:sz="4" w:space="0" w:color="auto"/>
            </w:tcBorders>
            <w:vAlign w:val="center"/>
          </w:tcPr>
          <w:p w:rsidR="00B01106" w:rsidRPr="00B65A49" w:rsidRDefault="001A5E2D" w:rsidP="003005AC">
            <w:pPr>
              <w:ind w:left="-27"/>
              <w:rPr>
                <w:color w:val="333333"/>
                <w:sz w:val="24"/>
                <w:szCs w:val="24"/>
              </w:rPr>
            </w:pPr>
            <w:r w:rsidRPr="00B65A49">
              <w:rPr>
                <w:color w:val="333333"/>
                <w:sz w:val="24"/>
                <w:szCs w:val="24"/>
              </w:rPr>
              <w:t>International Bar Association, UK</w:t>
            </w:r>
          </w:p>
        </w:tc>
        <w:tc>
          <w:tcPr>
            <w:tcW w:w="2500" w:type="dxa"/>
            <w:tcBorders>
              <w:top w:val="single" w:sz="4" w:space="0" w:color="auto"/>
              <w:right w:val="double" w:sz="4" w:space="0" w:color="auto"/>
            </w:tcBorders>
            <w:vAlign w:val="center"/>
          </w:tcPr>
          <w:p w:rsidR="00B01106" w:rsidRPr="00B65A49" w:rsidRDefault="00B01106" w:rsidP="00B01106">
            <w:pPr>
              <w:ind w:left="-27"/>
              <w:rPr>
                <w:sz w:val="24"/>
                <w:szCs w:val="24"/>
                <w:lang w:val="en-US"/>
              </w:rPr>
            </w:pPr>
            <w:r w:rsidRPr="00B65A49">
              <w:rPr>
                <w:sz w:val="24"/>
                <w:szCs w:val="24"/>
                <w:lang w:val="en-US"/>
              </w:rPr>
              <w:t>$ 10,000 (€ 9,120)</w:t>
            </w:r>
          </w:p>
          <w:p w:rsidR="00B01106" w:rsidRPr="00B65A49" w:rsidRDefault="00B01106" w:rsidP="003005AC">
            <w:pPr>
              <w:ind w:left="-27"/>
              <w:rPr>
                <w:color w:val="333333"/>
                <w:sz w:val="24"/>
                <w:szCs w:val="24"/>
              </w:rPr>
            </w:pPr>
          </w:p>
        </w:tc>
      </w:tr>
      <w:tr w:rsidR="00B01106" w:rsidRPr="0030391E" w:rsidTr="008D0413">
        <w:trPr>
          <w:trHeight w:val="833"/>
        </w:trPr>
        <w:tc>
          <w:tcPr>
            <w:tcW w:w="2502" w:type="dxa"/>
            <w:tcBorders>
              <w:top w:val="single" w:sz="4" w:space="0" w:color="auto"/>
              <w:left w:val="double" w:sz="4" w:space="0" w:color="auto"/>
            </w:tcBorders>
            <w:vAlign w:val="center"/>
          </w:tcPr>
          <w:p w:rsidR="00B01106" w:rsidRPr="00B65A49" w:rsidRDefault="00B01106" w:rsidP="00B01106">
            <w:pPr>
              <w:rPr>
                <w:sz w:val="24"/>
                <w:szCs w:val="24"/>
                <w:lang w:val="en-US"/>
              </w:rPr>
            </w:pPr>
            <w:r w:rsidRPr="00B65A49">
              <w:rPr>
                <w:sz w:val="24"/>
                <w:szCs w:val="24"/>
                <w:lang w:val="en-US"/>
              </w:rPr>
              <w:t xml:space="preserve">Interest based Negotiation training for </w:t>
            </w:r>
            <w:r w:rsidR="007B2A41" w:rsidRPr="00B65A49">
              <w:rPr>
                <w:sz w:val="24"/>
                <w:szCs w:val="24"/>
                <w:lang w:val="en-US"/>
              </w:rPr>
              <w:t>W/VTA</w:t>
            </w:r>
            <w:r w:rsidR="001A5A89">
              <w:rPr>
                <w:sz w:val="24"/>
                <w:szCs w:val="24"/>
                <w:lang w:val="en-US"/>
              </w:rPr>
              <w:t xml:space="preserve"> - Grant</w:t>
            </w:r>
          </w:p>
        </w:tc>
        <w:tc>
          <w:tcPr>
            <w:tcW w:w="2502" w:type="dxa"/>
            <w:tcBorders>
              <w:top w:val="single" w:sz="4" w:space="0" w:color="auto"/>
            </w:tcBorders>
            <w:vAlign w:val="center"/>
          </w:tcPr>
          <w:p w:rsidR="00B01106" w:rsidRPr="00B65A49" w:rsidRDefault="00C04FE6" w:rsidP="003005AC">
            <w:pPr>
              <w:ind w:left="-27"/>
              <w:rPr>
                <w:sz w:val="24"/>
                <w:szCs w:val="24"/>
                <w:lang w:val="en-US"/>
              </w:rPr>
            </w:pPr>
            <w:r w:rsidRPr="00B65A49">
              <w:rPr>
                <w:sz w:val="24"/>
                <w:szCs w:val="24"/>
                <w:lang w:val="en-US"/>
              </w:rPr>
              <w:t>Strengthen dispute resolution skills and confidence of  ward and village tract administrators</w:t>
            </w:r>
          </w:p>
        </w:tc>
        <w:tc>
          <w:tcPr>
            <w:tcW w:w="2500" w:type="dxa"/>
            <w:tcBorders>
              <w:top w:val="single" w:sz="4" w:space="0" w:color="auto"/>
            </w:tcBorders>
            <w:vAlign w:val="center"/>
          </w:tcPr>
          <w:p w:rsidR="00B01106" w:rsidRPr="00B65A49" w:rsidRDefault="007B2A41" w:rsidP="003005AC">
            <w:pPr>
              <w:ind w:left="-27"/>
              <w:rPr>
                <w:color w:val="333333"/>
                <w:sz w:val="24"/>
                <w:szCs w:val="24"/>
              </w:rPr>
            </w:pPr>
            <w:r w:rsidRPr="00B65A49">
              <w:rPr>
                <w:sz w:val="24"/>
                <w:szCs w:val="24"/>
                <w:lang w:val="en-US"/>
              </w:rPr>
              <w:t>Mercy Corps, UK</w:t>
            </w:r>
            <w:r w:rsidRPr="00B65A49">
              <w:rPr>
                <w:color w:val="333333"/>
                <w:sz w:val="24"/>
                <w:szCs w:val="24"/>
              </w:rPr>
              <w:t xml:space="preserve"> </w:t>
            </w:r>
          </w:p>
        </w:tc>
        <w:tc>
          <w:tcPr>
            <w:tcW w:w="2500" w:type="dxa"/>
            <w:tcBorders>
              <w:top w:val="single" w:sz="4" w:space="0" w:color="auto"/>
              <w:right w:val="double" w:sz="4" w:space="0" w:color="auto"/>
            </w:tcBorders>
            <w:vAlign w:val="center"/>
          </w:tcPr>
          <w:p w:rsidR="00B01106" w:rsidRPr="00B65A49" w:rsidRDefault="007B2A41" w:rsidP="00B01106">
            <w:pPr>
              <w:ind w:left="-27"/>
              <w:rPr>
                <w:sz w:val="24"/>
                <w:szCs w:val="24"/>
                <w:lang w:val="en-US"/>
              </w:rPr>
            </w:pPr>
            <w:r w:rsidRPr="00B65A49">
              <w:rPr>
                <w:sz w:val="24"/>
                <w:szCs w:val="24"/>
                <w:lang w:val="en-US"/>
              </w:rPr>
              <w:t>$ 12,283 (€ 11,276)</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652CF1" w:rsidRDefault="008D0413" w:rsidP="003005AC">
            <w:pPr>
              <w:ind w:left="-27"/>
              <w:rPr>
                <w:sz w:val="24"/>
                <w:szCs w:val="24"/>
                <w:lang w:val="en-US"/>
              </w:rPr>
            </w:pPr>
            <w:r w:rsidRPr="00652CF1">
              <w:rPr>
                <w:sz w:val="24"/>
                <w:szCs w:val="24"/>
                <w:lang w:val="en-US"/>
              </w:rPr>
              <w:t>Yangon Justice Centre</w:t>
            </w:r>
            <w:r>
              <w:rPr>
                <w:sz w:val="24"/>
                <w:szCs w:val="24"/>
                <w:lang w:val="en-US"/>
              </w:rPr>
              <w:t xml:space="preserve"> (Year 1) - Grant</w:t>
            </w:r>
          </w:p>
        </w:tc>
        <w:tc>
          <w:tcPr>
            <w:tcW w:w="2502" w:type="dxa"/>
            <w:tcBorders>
              <w:top w:val="single" w:sz="4" w:space="0" w:color="auto"/>
            </w:tcBorders>
            <w:vAlign w:val="center"/>
          </w:tcPr>
          <w:p w:rsidR="008D0413" w:rsidRPr="00652CF1" w:rsidRDefault="008D0413" w:rsidP="003005AC">
            <w:pPr>
              <w:ind w:left="-27"/>
              <w:rPr>
                <w:sz w:val="24"/>
                <w:szCs w:val="24"/>
                <w:lang w:val="en-US"/>
              </w:rPr>
            </w:pPr>
            <w:r>
              <w:rPr>
                <w:sz w:val="24"/>
                <w:szCs w:val="24"/>
                <w:lang w:val="en-US"/>
              </w:rPr>
              <w:t>Implementation of legal assistance services in Yangon Region</w:t>
            </w:r>
          </w:p>
        </w:tc>
        <w:tc>
          <w:tcPr>
            <w:tcW w:w="2500" w:type="dxa"/>
            <w:tcBorders>
              <w:top w:val="single" w:sz="4" w:space="0" w:color="auto"/>
            </w:tcBorders>
            <w:vAlign w:val="center"/>
          </w:tcPr>
          <w:p w:rsidR="008D0413" w:rsidRPr="00652CF1" w:rsidRDefault="008D0413" w:rsidP="003005AC">
            <w:pPr>
              <w:ind w:left="-27"/>
              <w:rPr>
                <w:sz w:val="24"/>
                <w:szCs w:val="24"/>
                <w:lang w:val="en-US"/>
              </w:rPr>
            </w:pPr>
            <w:r w:rsidRPr="00652CF1">
              <w:rPr>
                <w:sz w:val="24"/>
                <w:szCs w:val="24"/>
                <w:lang w:val="en-US"/>
              </w:rPr>
              <w:t>U Kyaw Myint Law Firm, Yangon. Myanmar</w:t>
            </w:r>
          </w:p>
        </w:tc>
        <w:tc>
          <w:tcPr>
            <w:tcW w:w="2500" w:type="dxa"/>
            <w:tcBorders>
              <w:top w:val="single" w:sz="4" w:space="0" w:color="auto"/>
              <w:right w:val="double" w:sz="4" w:space="0" w:color="auto"/>
            </w:tcBorders>
            <w:vAlign w:val="center"/>
          </w:tcPr>
          <w:p w:rsidR="008D0413" w:rsidRDefault="008D0413" w:rsidP="003005AC">
            <w:pPr>
              <w:ind w:left="-27"/>
              <w:rPr>
                <w:sz w:val="24"/>
                <w:szCs w:val="24"/>
                <w:lang w:val="en-US"/>
              </w:rPr>
            </w:pPr>
            <w:r w:rsidRPr="00652CF1">
              <w:rPr>
                <w:sz w:val="24"/>
                <w:szCs w:val="24"/>
                <w:lang w:val="en-US"/>
              </w:rPr>
              <w:t>$ 364,440</w:t>
            </w:r>
          </w:p>
          <w:p w:rsidR="008D0413" w:rsidRPr="00652CF1" w:rsidRDefault="008D0413" w:rsidP="003005AC">
            <w:pPr>
              <w:ind w:left="-27"/>
              <w:rPr>
                <w:sz w:val="24"/>
                <w:szCs w:val="24"/>
                <w:lang w:val="en-US"/>
              </w:rPr>
            </w:pPr>
            <w:r>
              <w:rPr>
                <w:sz w:val="24"/>
                <w:szCs w:val="24"/>
                <w:lang w:val="en-US"/>
              </w:rPr>
              <w:t>(€ 325,809)</w:t>
            </w:r>
          </w:p>
        </w:tc>
      </w:tr>
      <w:tr w:rsidR="008D0413" w:rsidRPr="0030391E" w:rsidTr="008D0413">
        <w:trPr>
          <w:trHeight w:val="1431"/>
        </w:trPr>
        <w:tc>
          <w:tcPr>
            <w:tcW w:w="2502" w:type="dxa"/>
            <w:tcBorders>
              <w:top w:val="single" w:sz="4" w:space="0" w:color="auto"/>
              <w:left w:val="double" w:sz="4" w:space="0" w:color="auto"/>
            </w:tcBorders>
            <w:vAlign w:val="center"/>
          </w:tcPr>
          <w:p w:rsidR="008D0413" w:rsidRPr="00652CF1" w:rsidRDefault="008D0413" w:rsidP="003005AC">
            <w:pPr>
              <w:ind w:left="-27"/>
              <w:rPr>
                <w:sz w:val="24"/>
                <w:szCs w:val="24"/>
                <w:lang w:val="en-US"/>
              </w:rPr>
            </w:pPr>
            <w:proofErr w:type="spellStart"/>
            <w:r w:rsidRPr="00652CF1">
              <w:rPr>
                <w:sz w:val="24"/>
                <w:szCs w:val="24"/>
                <w:lang w:val="en-US"/>
              </w:rPr>
              <w:t>Mawlamyaing</w:t>
            </w:r>
            <w:proofErr w:type="spellEnd"/>
            <w:r w:rsidRPr="00652CF1">
              <w:rPr>
                <w:sz w:val="24"/>
                <w:szCs w:val="24"/>
                <w:lang w:val="en-US"/>
              </w:rPr>
              <w:t xml:space="preserve"> Justice Centre</w:t>
            </w:r>
            <w:r>
              <w:rPr>
                <w:sz w:val="24"/>
                <w:szCs w:val="24"/>
                <w:lang w:val="en-US"/>
              </w:rPr>
              <w:t xml:space="preserve"> (Year 1) - Grant</w:t>
            </w:r>
          </w:p>
        </w:tc>
        <w:tc>
          <w:tcPr>
            <w:tcW w:w="2502" w:type="dxa"/>
            <w:tcBorders>
              <w:top w:val="single" w:sz="4" w:space="0" w:color="auto"/>
            </w:tcBorders>
            <w:vAlign w:val="center"/>
          </w:tcPr>
          <w:p w:rsidR="008D0413" w:rsidRPr="00652CF1" w:rsidRDefault="008D0413" w:rsidP="003005AC">
            <w:pPr>
              <w:ind w:left="-27"/>
              <w:rPr>
                <w:sz w:val="24"/>
                <w:szCs w:val="24"/>
                <w:lang w:val="en-US"/>
              </w:rPr>
            </w:pPr>
            <w:r>
              <w:rPr>
                <w:sz w:val="24"/>
                <w:szCs w:val="24"/>
                <w:lang w:val="en-US"/>
              </w:rPr>
              <w:t>Implementation of legal assistance services in Mon State</w:t>
            </w:r>
          </w:p>
        </w:tc>
        <w:tc>
          <w:tcPr>
            <w:tcW w:w="2500" w:type="dxa"/>
            <w:tcBorders>
              <w:top w:val="single" w:sz="4" w:space="0" w:color="auto"/>
            </w:tcBorders>
            <w:vAlign w:val="center"/>
          </w:tcPr>
          <w:p w:rsidR="008D0413" w:rsidRPr="00652CF1" w:rsidRDefault="008D0413" w:rsidP="003005AC">
            <w:pPr>
              <w:ind w:left="-27"/>
              <w:rPr>
                <w:sz w:val="24"/>
                <w:szCs w:val="24"/>
                <w:lang w:val="en-US"/>
              </w:rPr>
            </w:pPr>
            <w:proofErr w:type="spellStart"/>
            <w:r w:rsidRPr="00652CF1">
              <w:rPr>
                <w:sz w:val="24"/>
                <w:szCs w:val="24"/>
                <w:lang w:val="en-US"/>
              </w:rPr>
              <w:t>Mawlamyaing</w:t>
            </w:r>
            <w:proofErr w:type="spellEnd"/>
            <w:r w:rsidRPr="00652CF1">
              <w:rPr>
                <w:sz w:val="24"/>
                <w:szCs w:val="24"/>
                <w:lang w:val="en-US"/>
              </w:rPr>
              <w:t xml:space="preserve"> Justice Centre, </w:t>
            </w:r>
            <w:proofErr w:type="spellStart"/>
            <w:r w:rsidRPr="00652CF1">
              <w:rPr>
                <w:sz w:val="24"/>
                <w:szCs w:val="24"/>
                <w:lang w:val="en-US"/>
              </w:rPr>
              <w:t>Mawlamyaing</w:t>
            </w:r>
            <w:proofErr w:type="spellEnd"/>
            <w:r w:rsidRPr="00652CF1">
              <w:rPr>
                <w:sz w:val="24"/>
                <w:szCs w:val="24"/>
                <w:lang w:val="en-US"/>
              </w:rPr>
              <w:t>, Myanmar</w:t>
            </w:r>
          </w:p>
        </w:tc>
        <w:tc>
          <w:tcPr>
            <w:tcW w:w="2500" w:type="dxa"/>
            <w:tcBorders>
              <w:top w:val="single" w:sz="4" w:space="0" w:color="auto"/>
              <w:right w:val="double" w:sz="4" w:space="0" w:color="auto"/>
            </w:tcBorders>
            <w:vAlign w:val="center"/>
          </w:tcPr>
          <w:p w:rsidR="008D0413" w:rsidRPr="00652CF1" w:rsidRDefault="008D0413" w:rsidP="003005AC">
            <w:pPr>
              <w:ind w:left="-27"/>
              <w:rPr>
                <w:sz w:val="24"/>
                <w:szCs w:val="24"/>
                <w:lang w:val="en-US"/>
              </w:rPr>
            </w:pPr>
            <w:r w:rsidRPr="00652CF1">
              <w:rPr>
                <w:sz w:val="24"/>
                <w:szCs w:val="24"/>
                <w:lang w:val="en-US"/>
              </w:rPr>
              <w:t>$ 225,937</w:t>
            </w:r>
            <w:r>
              <w:rPr>
                <w:sz w:val="24"/>
                <w:szCs w:val="24"/>
                <w:lang w:val="en-US"/>
              </w:rPr>
              <w:br/>
              <w:t>(€ 201,988)</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ind w:left="-27"/>
              <w:rPr>
                <w:sz w:val="24"/>
                <w:szCs w:val="24"/>
                <w:lang w:val="en-US"/>
              </w:rPr>
            </w:pPr>
            <w:r>
              <w:rPr>
                <w:sz w:val="24"/>
                <w:szCs w:val="24"/>
                <w:lang w:val="en-US"/>
              </w:rPr>
              <w:t>Strengthening women’s access to justice in Y</w:t>
            </w:r>
            <w:r w:rsidRPr="0030391E">
              <w:rPr>
                <w:sz w:val="24"/>
                <w:szCs w:val="24"/>
                <w:lang w:val="en-US"/>
              </w:rPr>
              <w:t>angon and Mon</w:t>
            </w:r>
            <w:r>
              <w:rPr>
                <w:sz w:val="24"/>
                <w:szCs w:val="24"/>
                <w:lang w:val="en-US"/>
              </w:rPr>
              <w:t xml:space="preserve"> - Grant</w:t>
            </w:r>
          </w:p>
        </w:tc>
        <w:tc>
          <w:tcPr>
            <w:tcW w:w="2502" w:type="dxa"/>
            <w:tcBorders>
              <w:top w:val="single" w:sz="4" w:space="0" w:color="auto"/>
            </w:tcBorders>
            <w:vAlign w:val="center"/>
          </w:tcPr>
          <w:p w:rsidR="008D0413" w:rsidRPr="0030391E" w:rsidRDefault="008D0413" w:rsidP="003005AC">
            <w:pPr>
              <w:ind w:left="-27"/>
              <w:rPr>
                <w:sz w:val="24"/>
                <w:szCs w:val="24"/>
                <w:lang w:val="en-US"/>
              </w:rPr>
            </w:pPr>
            <w:r>
              <w:rPr>
                <w:sz w:val="24"/>
                <w:szCs w:val="24"/>
                <w:lang w:val="en-US"/>
              </w:rPr>
              <w:t>Improving women’s access to justice through legal awareness, paralegal support and referrals</w:t>
            </w:r>
          </w:p>
        </w:tc>
        <w:tc>
          <w:tcPr>
            <w:tcW w:w="2500" w:type="dxa"/>
            <w:tcBorders>
              <w:top w:val="single" w:sz="4" w:space="0" w:color="auto"/>
            </w:tcBorders>
            <w:vAlign w:val="center"/>
          </w:tcPr>
          <w:p w:rsidR="008D0413" w:rsidRPr="0030391E" w:rsidRDefault="008D0413" w:rsidP="003005AC">
            <w:pPr>
              <w:ind w:left="-27"/>
              <w:rPr>
                <w:sz w:val="24"/>
                <w:szCs w:val="24"/>
                <w:lang w:val="en-US"/>
              </w:rPr>
            </w:pPr>
            <w:r w:rsidRPr="0030391E">
              <w:rPr>
                <w:sz w:val="24"/>
                <w:szCs w:val="24"/>
                <w:lang w:val="en-US"/>
              </w:rPr>
              <w:t>ActionAid Myanmar, Myanmar</w:t>
            </w:r>
          </w:p>
        </w:tc>
        <w:tc>
          <w:tcPr>
            <w:tcW w:w="2500" w:type="dxa"/>
            <w:tcBorders>
              <w:top w:val="single" w:sz="4" w:space="0" w:color="auto"/>
              <w:right w:val="double" w:sz="4" w:space="0" w:color="auto"/>
            </w:tcBorders>
            <w:vAlign w:val="center"/>
          </w:tcPr>
          <w:p w:rsidR="008D0413" w:rsidRDefault="008D0413" w:rsidP="003005AC">
            <w:pPr>
              <w:ind w:left="-27"/>
              <w:rPr>
                <w:sz w:val="24"/>
                <w:szCs w:val="24"/>
                <w:lang w:val="en-US"/>
              </w:rPr>
            </w:pPr>
            <w:r w:rsidRPr="0030391E">
              <w:rPr>
                <w:sz w:val="24"/>
                <w:szCs w:val="24"/>
                <w:lang w:val="en-US"/>
              </w:rPr>
              <w:t>$ 299,991</w:t>
            </w:r>
          </w:p>
          <w:p w:rsidR="008D0413" w:rsidRPr="0030391E" w:rsidRDefault="008D0413" w:rsidP="003005AC">
            <w:pPr>
              <w:ind w:left="-27"/>
              <w:rPr>
                <w:sz w:val="24"/>
                <w:szCs w:val="24"/>
                <w:lang w:val="en-US"/>
              </w:rPr>
            </w:pPr>
            <w:r>
              <w:rPr>
                <w:sz w:val="24"/>
                <w:szCs w:val="24"/>
                <w:lang w:val="en-US"/>
              </w:rPr>
              <w:t>(€ 283,056)</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ind w:left="-27"/>
              <w:rPr>
                <w:sz w:val="24"/>
                <w:szCs w:val="24"/>
                <w:lang w:val="en-US"/>
              </w:rPr>
            </w:pPr>
            <w:r>
              <w:rPr>
                <w:sz w:val="24"/>
                <w:szCs w:val="24"/>
                <w:lang w:val="en-US"/>
              </w:rPr>
              <w:t>Human d</w:t>
            </w:r>
            <w:r w:rsidRPr="0030391E">
              <w:rPr>
                <w:sz w:val="24"/>
                <w:szCs w:val="24"/>
                <w:lang w:val="en-US"/>
              </w:rPr>
              <w:t xml:space="preserve">rama </w:t>
            </w:r>
            <w:r>
              <w:rPr>
                <w:sz w:val="24"/>
                <w:szCs w:val="24"/>
                <w:lang w:val="en-US"/>
              </w:rPr>
              <w:t>- Grant</w:t>
            </w:r>
          </w:p>
          <w:p w:rsidR="008D0413" w:rsidRPr="0030391E" w:rsidRDefault="008D0413" w:rsidP="003005AC">
            <w:pPr>
              <w:ind w:left="-27"/>
              <w:rPr>
                <w:sz w:val="24"/>
                <w:szCs w:val="24"/>
                <w:lang w:val="en-US"/>
              </w:rPr>
            </w:pPr>
          </w:p>
        </w:tc>
        <w:tc>
          <w:tcPr>
            <w:tcW w:w="2502" w:type="dxa"/>
            <w:tcBorders>
              <w:top w:val="single" w:sz="4" w:space="0" w:color="auto"/>
            </w:tcBorders>
            <w:vAlign w:val="center"/>
          </w:tcPr>
          <w:p w:rsidR="008D0413" w:rsidRPr="0030391E" w:rsidRDefault="008D0413" w:rsidP="003005AC">
            <w:pPr>
              <w:ind w:left="-27"/>
              <w:rPr>
                <w:sz w:val="24"/>
                <w:szCs w:val="24"/>
                <w:lang w:val="en-US"/>
              </w:rPr>
            </w:pPr>
            <w:r w:rsidRPr="0030391E">
              <w:rPr>
                <w:sz w:val="24"/>
                <w:szCs w:val="24"/>
                <w:lang w:val="en-US"/>
              </w:rPr>
              <w:t xml:space="preserve">Raising </w:t>
            </w:r>
            <w:r>
              <w:rPr>
                <w:sz w:val="24"/>
                <w:szCs w:val="24"/>
                <w:lang w:val="en-US"/>
              </w:rPr>
              <w:t xml:space="preserve">community </w:t>
            </w:r>
            <w:r w:rsidRPr="0030391E">
              <w:rPr>
                <w:sz w:val="24"/>
                <w:szCs w:val="24"/>
                <w:lang w:val="en-US"/>
              </w:rPr>
              <w:t>awareness of human rights through drama</w:t>
            </w:r>
          </w:p>
        </w:tc>
        <w:tc>
          <w:tcPr>
            <w:tcW w:w="2500" w:type="dxa"/>
            <w:tcBorders>
              <w:top w:val="single" w:sz="4" w:space="0" w:color="auto"/>
            </w:tcBorders>
            <w:vAlign w:val="center"/>
          </w:tcPr>
          <w:p w:rsidR="008D0413" w:rsidRPr="0030391E" w:rsidRDefault="008D0413" w:rsidP="003005AC">
            <w:pPr>
              <w:ind w:left="-27"/>
              <w:rPr>
                <w:sz w:val="24"/>
                <w:szCs w:val="24"/>
                <w:lang w:val="en-US"/>
              </w:rPr>
            </w:pPr>
            <w:r w:rsidRPr="0030391E">
              <w:rPr>
                <w:sz w:val="24"/>
                <w:szCs w:val="24"/>
                <w:lang w:val="en-US"/>
              </w:rPr>
              <w:t xml:space="preserve">The Association François-Xavier </w:t>
            </w:r>
            <w:proofErr w:type="spellStart"/>
            <w:r w:rsidRPr="0030391E">
              <w:rPr>
                <w:sz w:val="24"/>
                <w:szCs w:val="24"/>
                <w:lang w:val="en-US"/>
              </w:rPr>
              <w:t>Bagnoud</w:t>
            </w:r>
            <w:proofErr w:type="spellEnd"/>
            <w:r w:rsidRPr="0030391E">
              <w:rPr>
                <w:sz w:val="24"/>
                <w:szCs w:val="24"/>
                <w:lang w:val="en-US"/>
              </w:rPr>
              <w:t>, Myanmar</w:t>
            </w:r>
          </w:p>
          <w:p w:rsidR="008D0413" w:rsidRPr="0030391E" w:rsidRDefault="008D0413" w:rsidP="003005AC">
            <w:pPr>
              <w:ind w:left="-27"/>
              <w:rPr>
                <w:sz w:val="24"/>
                <w:szCs w:val="24"/>
                <w:lang w:val="en-US"/>
              </w:rPr>
            </w:pPr>
          </w:p>
        </w:tc>
        <w:tc>
          <w:tcPr>
            <w:tcW w:w="2500" w:type="dxa"/>
            <w:tcBorders>
              <w:top w:val="single" w:sz="4" w:space="0" w:color="auto"/>
              <w:right w:val="double" w:sz="4" w:space="0" w:color="auto"/>
            </w:tcBorders>
            <w:vAlign w:val="center"/>
          </w:tcPr>
          <w:p w:rsidR="008D0413" w:rsidRDefault="008D0413" w:rsidP="003005AC">
            <w:pPr>
              <w:ind w:left="-27"/>
              <w:rPr>
                <w:sz w:val="24"/>
                <w:szCs w:val="24"/>
                <w:lang w:val="en-US"/>
              </w:rPr>
            </w:pPr>
            <w:r w:rsidRPr="0030391E">
              <w:rPr>
                <w:sz w:val="24"/>
                <w:szCs w:val="24"/>
                <w:lang w:val="en-US"/>
              </w:rPr>
              <w:t>$ 300,000</w:t>
            </w:r>
            <w:r>
              <w:rPr>
                <w:sz w:val="24"/>
                <w:szCs w:val="24"/>
                <w:lang w:val="en-US"/>
              </w:rPr>
              <w:t xml:space="preserve"> </w:t>
            </w:r>
          </w:p>
          <w:p w:rsidR="008D0413" w:rsidRPr="0030391E" w:rsidRDefault="008D0413" w:rsidP="003005AC">
            <w:pPr>
              <w:ind w:left="-27"/>
              <w:rPr>
                <w:sz w:val="24"/>
                <w:szCs w:val="24"/>
                <w:lang w:val="en-US"/>
              </w:rPr>
            </w:pPr>
            <w:r>
              <w:rPr>
                <w:sz w:val="24"/>
                <w:szCs w:val="24"/>
                <w:lang w:val="en-US"/>
              </w:rPr>
              <w:t>(€ 280,800)</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ind w:left="-27"/>
              <w:rPr>
                <w:sz w:val="24"/>
                <w:szCs w:val="24"/>
                <w:lang w:val="en-US"/>
              </w:rPr>
            </w:pPr>
            <w:r>
              <w:rPr>
                <w:sz w:val="24"/>
                <w:szCs w:val="24"/>
                <w:lang w:val="en-US"/>
              </w:rPr>
              <w:t>LGBT rule of law p</w:t>
            </w:r>
            <w:r w:rsidRPr="0030391E">
              <w:rPr>
                <w:sz w:val="24"/>
                <w:szCs w:val="24"/>
                <w:lang w:val="en-US"/>
              </w:rPr>
              <w:t xml:space="preserve">roject </w:t>
            </w:r>
            <w:r>
              <w:rPr>
                <w:sz w:val="24"/>
                <w:szCs w:val="24"/>
                <w:lang w:val="en-US"/>
              </w:rPr>
              <w:t>- Grant</w:t>
            </w:r>
          </w:p>
          <w:p w:rsidR="008D0413" w:rsidRPr="0030391E" w:rsidRDefault="008D0413" w:rsidP="003005AC">
            <w:pPr>
              <w:ind w:left="-27"/>
              <w:rPr>
                <w:sz w:val="24"/>
                <w:szCs w:val="24"/>
                <w:lang w:val="en-US"/>
              </w:rPr>
            </w:pPr>
          </w:p>
        </w:tc>
        <w:tc>
          <w:tcPr>
            <w:tcW w:w="2502" w:type="dxa"/>
            <w:tcBorders>
              <w:top w:val="single" w:sz="4" w:space="0" w:color="auto"/>
            </w:tcBorders>
            <w:vAlign w:val="center"/>
          </w:tcPr>
          <w:p w:rsidR="008D0413" w:rsidRPr="0030391E" w:rsidRDefault="008D0413" w:rsidP="003005AC">
            <w:pPr>
              <w:ind w:left="-27"/>
              <w:rPr>
                <w:sz w:val="24"/>
                <w:szCs w:val="24"/>
                <w:lang w:val="en-US"/>
              </w:rPr>
            </w:pPr>
            <w:r>
              <w:rPr>
                <w:sz w:val="24"/>
                <w:szCs w:val="24"/>
                <w:lang w:val="en-US"/>
              </w:rPr>
              <w:t>Promotion of</w:t>
            </w:r>
            <w:r w:rsidRPr="0030391E">
              <w:rPr>
                <w:sz w:val="24"/>
                <w:szCs w:val="24"/>
                <w:lang w:val="en-US"/>
              </w:rPr>
              <w:t xml:space="preserve"> LGBT rights</w:t>
            </w:r>
          </w:p>
        </w:tc>
        <w:tc>
          <w:tcPr>
            <w:tcW w:w="2500" w:type="dxa"/>
            <w:tcBorders>
              <w:top w:val="single" w:sz="4" w:space="0" w:color="auto"/>
            </w:tcBorders>
            <w:vAlign w:val="center"/>
          </w:tcPr>
          <w:p w:rsidR="008D0413" w:rsidRPr="0030391E" w:rsidRDefault="008D0413" w:rsidP="003005AC">
            <w:pPr>
              <w:ind w:left="-27"/>
              <w:rPr>
                <w:sz w:val="24"/>
                <w:szCs w:val="24"/>
                <w:lang w:val="en-US"/>
              </w:rPr>
            </w:pPr>
            <w:r w:rsidRPr="0030391E">
              <w:rPr>
                <w:sz w:val="24"/>
                <w:szCs w:val="24"/>
                <w:lang w:val="en-US"/>
              </w:rPr>
              <w:t>Equality Myanmar, Myanmar</w:t>
            </w:r>
          </w:p>
        </w:tc>
        <w:tc>
          <w:tcPr>
            <w:tcW w:w="2500" w:type="dxa"/>
            <w:tcBorders>
              <w:top w:val="single" w:sz="4" w:space="0" w:color="auto"/>
              <w:right w:val="double" w:sz="4" w:space="0" w:color="auto"/>
            </w:tcBorders>
            <w:vAlign w:val="center"/>
          </w:tcPr>
          <w:p w:rsidR="008D0413" w:rsidRDefault="008D0413" w:rsidP="003005AC">
            <w:pPr>
              <w:ind w:left="-27"/>
              <w:rPr>
                <w:sz w:val="24"/>
                <w:szCs w:val="24"/>
                <w:lang w:val="en-US"/>
              </w:rPr>
            </w:pPr>
            <w:r w:rsidRPr="0030391E">
              <w:rPr>
                <w:sz w:val="24"/>
                <w:szCs w:val="24"/>
                <w:lang w:val="en-US"/>
              </w:rPr>
              <w:t>$ 299,131</w:t>
            </w:r>
          </w:p>
          <w:p w:rsidR="008D0413" w:rsidRPr="0030391E" w:rsidRDefault="008D0413" w:rsidP="003005AC">
            <w:pPr>
              <w:ind w:left="-27"/>
              <w:rPr>
                <w:sz w:val="24"/>
                <w:szCs w:val="24"/>
                <w:lang w:val="en-US"/>
              </w:rPr>
            </w:pPr>
            <w:r>
              <w:rPr>
                <w:sz w:val="24"/>
                <w:szCs w:val="24"/>
                <w:lang w:val="en-US"/>
              </w:rPr>
              <w:t>(€ 279,987)</w:t>
            </w:r>
          </w:p>
          <w:p w:rsidR="008D0413" w:rsidRPr="0030391E" w:rsidRDefault="008D0413" w:rsidP="003005AC">
            <w:pPr>
              <w:ind w:left="-27"/>
              <w:rPr>
                <w:sz w:val="24"/>
                <w:szCs w:val="24"/>
                <w:lang w:val="en-US"/>
              </w:rPr>
            </w:pP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spacing w:before="57"/>
              <w:ind w:right="-20"/>
              <w:rPr>
                <w:sz w:val="24"/>
                <w:szCs w:val="24"/>
                <w:lang w:val="en-US"/>
              </w:rPr>
            </w:pPr>
            <w:r w:rsidRPr="0030391E">
              <w:rPr>
                <w:sz w:val="24"/>
                <w:szCs w:val="24"/>
                <w:lang w:val="en-US"/>
              </w:rPr>
              <w:t xml:space="preserve">Justice  First  Project: </w:t>
            </w:r>
            <w:r w:rsidRPr="0030391E">
              <w:rPr>
                <w:spacing w:val="-1"/>
                <w:sz w:val="24"/>
                <w:szCs w:val="24"/>
              </w:rPr>
              <w:t>A</w:t>
            </w:r>
            <w:r w:rsidRPr="0030391E">
              <w:rPr>
                <w:sz w:val="24"/>
                <w:szCs w:val="24"/>
              </w:rPr>
              <w:t xml:space="preserve">ccess </w:t>
            </w:r>
            <w:r w:rsidRPr="0030391E">
              <w:rPr>
                <w:spacing w:val="33"/>
                <w:sz w:val="24"/>
                <w:szCs w:val="24"/>
              </w:rPr>
              <w:t xml:space="preserve"> </w:t>
            </w:r>
            <w:r w:rsidRPr="0030391E">
              <w:rPr>
                <w:spacing w:val="1"/>
                <w:sz w:val="24"/>
                <w:szCs w:val="24"/>
              </w:rPr>
              <w:t>t</w:t>
            </w:r>
            <w:r w:rsidRPr="0030391E">
              <w:rPr>
                <w:sz w:val="24"/>
                <w:szCs w:val="24"/>
              </w:rPr>
              <w:t xml:space="preserve">o </w:t>
            </w:r>
            <w:r w:rsidRPr="0030391E">
              <w:rPr>
                <w:spacing w:val="33"/>
                <w:sz w:val="24"/>
                <w:szCs w:val="24"/>
              </w:rPr>
              <w:t xml:space="preserve"> </w:t>
            </w:r>
            <w:r>
              <w:rPr>
                <w:sz w:val="24"/>
                <w:szCs w:val="24"/>
              </w:rPr>
              <w:t>j</w:t>
            </w:r>
            <w:r w:rsidRPr="0030391E">
              <w:rPr>
                <w:sz w:val="24"/>
                <w:szCs w:val="24"/>
              </w:rPr>
              <w:t>u</w:t>
            </w:r>
            <w:r w:rsidRPr="0030391E">
              <w:rPr>
                <w:spacing w:val="-3"/>
                <w:sz w:val="24"/>
                <w:szCs w:val="24"/>
              </w:rPr>
              <w:t>s</w:t>
            </w:r>
            <w:r w:rsidRPr="0030391E">
              <w:rPr>
                <w:spacing w:val="1"/>
                <w:sz w:val="24"/>
                <w:szCs w:val="24"/>
              </w:rPr>
              <w:t>t</w:t>
            </w:r>
            <w:r w:rsidRPr="0030391E">
              <w:rPr>
                <w:spacing w:val="-1"/>
                <w:sz w:val="24"/>
                <w:szCs w:val="24"/>
              </w:rPr>
              <w:t>i</w:t>
            </w:r>
            <w:r w:rsidRPr="0030391E">
              <w:rPr>
                <w:sz w:val="24"/>
                <w:szCs w:val="24"/>
              </w:rPr>
              <w:t xml:space="preserve">ce </w:t>
            </w:r>
            <w:r w:rsidRPr="0030391E">
              <w:rPr>
                <w:spacing w:val="31"/>
                <w:sz w:val="24"/>
                <w:szCs w:val="24"/>
              </w:rPr>
              <w:t xml:space="preserve"> </w:t>
            </w:r>
            <w:r w:rsidRPr="0030391E">
              <w:rPr>
                <w:spacing w:val="3"/>
                <w:sz w:val="24"/>
                <w:szCs w:val="24"/>
              </w:rPr>
              <w:t>f</w:t>
            </w:r>
            <w:r w:rsidRPr="0030391E">
              <w:rPr>
                <w:sz w:val="24"/>
                <w:szCs w:val="24"/>
              </w:rPr>
              <w:t xml:space="preserve">or </w:t>
            </w:r>
            <w:r w:rsidRPr="0030391E">
              <w:rPr>
                <w:spacing w:val="31"/>
                <w:sz w:val="24"/>
                <w:szCs w:val="24"/>
              </w:rPr>
              <w:t xml:space="preserve"> </w:t>
            </w:r>
            <w:r>
              <w:rPr>
                <w:spacing w:val="-3"/>
                <w:sz w:val="24"/>
                <w:szCs w:val="24"/>
              </w:rPr>
              <w:t>w</w:t>
            </w:r>
            <w:r w:rsidRPr="0030391E">
              <w:rPr>
                <w:sz w:val="24"/>
                <w:szCs w:val="24"/>
              </w:rPr>
              <w:t xml:space="preserve">omen, </w:t>
            </w:r>
            <w:r w:rsidRPr="0030391E">
              <w:rPr>
                <w:spacing w:val="34"/>
                <w:sz w:val="24"/>
                <w:szCs w:val="24"/>
              </w:rPr>
              <w:t xml:space="preserve"> </w:t>
            </w:r>
            <w:r w:rsidRPr="0030391E">
              <w:rPr>
                <w:sz w:val="24"/>
                <w:szCs w:val="24"/>
              </w:rPr>
              <w:t>ch</w:t>
            </w:r>
            <w:r w:rsidRPr="0030391E">
              <w:rPr>
                <w:spacing w:val="-1"/>
                <w:sz w:val="24"/>
                <w:szCs w:val="24"/>
              </w:rPr>
              <w:t>il</w:t>
            </w:r>
            <w:r w:rsidRPr="0030391E">
              <w:rPr>
                <w:sz w:val="24"/>
                <w:szCs w:val="24"/>
              </w:rPr>
              <w:t xml:space="preserve">dren </w:t>
            </w:r>
            <w:r w:rsidRPr="0030391E">
              <w:rPr>
                <w:spacing w:val="33"/>
                <w:sz w:val="24"/>
                <w:szCs w:val="24"/>
              </w:rPr>
              <w:t xml:space="preserve"> </w:t>
            </w:r>
            <w:r w:rsidRPr="0030391E">
              <w:rPr>
                <w:sz w:val="24"/>
                <w:szCs w:val="24"/>
              </w:rPr>
              <w:t>a</w:t>
            </w:r>
            <w:r w:rsidRPr="0030391E">
              <w:rPr>
                <w:spacing w:val="-1"/>
                <w:sz w:val="24"/>
                <w:szCs w:val="24"/>
              </w:rPr>
              <w:t>n</w:t>
            </w:r>
            <w:r w:rsidRPr="0030391E">
              <w:rPr>
                <w:sz w:val="24"/>
                <w:szCs w:val="24"/>
              </w:rPr>
              <w:t>d d</w:t>
            </w:r>
            <w:r w:rsidRPr="0030391E">
              <w:rPr>
                <w:spacing w:val="-1"/>
                <w:sz w:val="24"/>
                <w:szCs w:val="24"/>
              </w:rPr>
              <w:t>i</w:t>
            </w:r>
            <w:r w:rsidRPr="0030391E">
              <w:rPr>
                <w:sz w:val="24"/>
                <w:szCs w:val="24"/>
              </w:rPr>
              <w:t>sa</w:t>
            </w:r>
            <w:r w:rsidRPr="0030391E">
              <w:rPr>
                <w:spacing w:val="-1"/>
                <w:sz w:val="24"/>
                <w:szCs w:val="24"/>
              </w:rPr>
              <w:t>d</w:t>
            </w:r>
            <w:r w:rsidRPr="0030391E">
              <w:rPr>
                <w:spacing w:val="-2"/>
                <w:sz w:val="24"/>
                <w:szCs w:val="24"/>
              </w:rPr>
              <w:t>v</w:t>
            </w:r>
            <w:r w:rsidRPr="0030391E">
              <w:rPr>
                <w:sz w:val="24"/>
                <w:szCs w:val="24"/>
              </w:rPr>
              <w:t>a</w:t>
            </w:r>
            <w:r w:rsidRPr="0030391E">
              <w:rPr>
                <w:spacing w:val="-1"/>
                <w:sz w:val="24"/>
                <w:szCs w:val="24"/>
              </w:rPr>
              <w:t>n</w:t>
            </w:r>
            <w:r w:rsidRPr="0030391E">
              <w:rPr>
                <w:spacing w:val="1"/>
                <w:sz w:val="24"/>
                <w:szCs w:val="24"/>
              </w:rPr>
              <w:t>t</w:t>
            </w:r>
            <w:r w:rsidRPr="0030391E">
              <w:rPr>
                <w:sz w:val="24"/>
                <w:szCs w:val="24"/>
              </w:rPr>
              <w:t>a</w:t>
            </w:r>
            <w:r w:rsidRPr="0030391E">
              <w:rPr>
                <w:spacing w:val="2"/>
                <w:sz w:val="24"/>
                <w:szCs w:val="24"/>
              </w:rPr>
              <w:t>g</w:t>
            </w:r>
            <w:r w:rsidRPr="0030391E">
              <w:rPr>
                <w:sz w:val="24"/>
                <w:szCs w:val="24"/>
              </w:rPr>
              <w:t>ed peo</w:t>
            </w:r>
            <w:r w:rsidRPr="0030391E">
              <w:rPr>
                <w:spacing w:val="-1"/>
                <w:sz w:val="24"/>
                <w:szCs w:val="24"/>
              </w:rPr>
              <w:t>pl</w:t>
            </w:r>
            <w:r w:rsidRPr="0030391E">
              <w:rPr>
                <w:sz w:val="24"/>
                <w:szCs w:val="24"/>
              </w:rPr>
              <w:t>e</w:t>
            </w:r>
            <w:r>
              <w:rPr>
                <w:sz w:val="24"/>
                <w:szCs w:val="24"/>
                <w:lang w:val="en-US"/>
              </w:rPr>
              <w:t>- Grant</w:t>
            </w:r>
          </w:p>
        </w:tc>
        <w:tc>
          <w:tcPr>
            <w:tcW w:w="2502" w:type="dxa"/>
            <w:tcBorders>
              <w:top w:val="single" w:sz="4" w:space="0" w:color="auto"/>
            </w:tcBorders>
            <w:vAlign w:val="center"/>
          </w:tcPr>
          <w:p w:rsidR="008D0413" w:rsidRPr="0030391E" w:rsidRDefault="008D0413" w:rsidP="003005AC">
            <w:pPr>
              <w:spacing w:before="57"/>
              <w:ind w:right="-20"/>
              <w:rPr>
                <w:sz w:val="24"/>
                <w:szCs w:val="24"/>
                <w:lang w:val="en-US"/>
              </w:rPr>
            </w:pPr>
            <w:r>
              <w:rPr>
                <w:spacing w:val="-1"/>
                <w:sz w:val="24"/>
                <w:szCs w:val="24"/>
              </w:rPr>
              <w:t>Providing legal services to</w:t>
            </w:r>
            <w:r w:rsidRPr="0030391E">
              <w:rPr>
                <w:sz w:val="24"/>
                <w:szCs w:val="24"/>
              </w:rPr>
              <w:t xml:space="preserve"> empo</w:t>
            </w:r>
            <w:r w:rsidRPr="0030391E">
              <w:rPr>
                <w:spacing w:val="-4"/>
                <w:sz w:val="24"/>
                <w:szCs w:val="24"/>
              </w:rPr>
              <w:t>w</w:t>
            </w:r>
            <w:r w:rsidRPr="0030391E">
              <w:rPr>
                <w:sz w:val="24"/>
                <w:szCs w:val="24"/>
              </w:rPr>
              <w:t>er</w:t>
            </w:r>
            <w:r w:rsidRPr="0030391E">
              <w:rPr>
                <w:spacing w:val="3"/>
                <w:sz w:val="24"/>
                <w:szCs w:val="24"/>
              </w:rPr>
              <w:t xml:space="preserve"> </w:t>
            </w:r>
            <w:r w:rsidRPr="0030391E">
              <w:rPr>
                <w:sz w:val="24"/>
                <w:szCs w:val="24"/>
              </w:rPr>
              <w:t>co</w:t>
            </w:r>
            <w:r w:rsidRPr="0030391E">
              <w:rPr>
                <w:spacing w:val="-2"/>
                <w:sz w:val="24"/>
                <w:szCs w:val="24"/>
              </w:rPr>
              <w:t>m</w:t>
            </w:r>
            <w:r w:rsidRPr="0030391E">
              <w:rPr>
                <w:spacing w:val="1"/>
                <w:sz w:val="24"/>
                <w:szCs w:val="24"/>
              </w:rPr>
              <w:t>m</w:t>
            </w:r>
            <w:r w:rsidRPr="0030391E">
              <w:rPr>
                <w:sz w:val="24"/>
                <w:szCs w:val="24"/>
              </w:rPr>
              <w:t>u</w:t>
            </w:r>
            <w:r w:rsidRPr="0030391E">
              <w:rPr>
                <w:spacing w:val="-1"/>
                <w:sz w:val="24"/>
                <w:szCs w:val="24"/>
              </w:rPr>
              <w:t>ni</w:t>
            </w:r>
            <w:r w:rsidRPr="0030391E">
              <w:rPr>
                <w:spacing w:val="1"/>
                <w:sz w:val="24"/>
                <w:szCs w:val="24"/>
              </w:rPr>
              <w:t>t</w:t>
            </w:r>
            <w:r w:rsidRPr="0030391E">
              <w:rPr>
                <w:spacing w:val="-1"/>
                <w:sz w:val="24"/>
                <w:szCs w:val="24"/>
              </w:rPr>
              <w:t>i</w:t>
            </w:r>
            <w:r w:rsidRPr="0030391E">
              <w:rPr>
                <w:spacing w:val="-3"/>
                <w:sz w:val="24"/>
                <w:szCs w:val="24"/>
              </w:rPr>
              <w:t>e</w:t>
            </w:r>
            <w:r w:rsidRPr="0030391E">
              <w:rPr>
                <w:sz w:val="24"/>
                <w:szCs w:val="24"/>
              </w:rPr>
              <w:t>s</w:t>
            </w:r>
            <w:r w:rsidRPr="0030391E">
              <w:rPr>
                <w:spacing w:val="4"/>
                <w:sz w:val="24"/>
                <w:szCs w:val="24"/>
              </w:rPr>
              <w:t xml:space="preserve"> </w:t>
            </w:r>
            <w:r w:rsidRPr="0030391E">
              <w:rPr>
                <w:spacing w:val="1"/>
                <w:sz w:val="24"/>
                <w:szCs w:val="24"/>
              </w:rPr>
              <w:t>t</w:t>
            </w:r>
            <w:r w:rsidRPr="0030391E">
              <w:rPr>
                <w:sz w:val="24"/>
                <w:szCs w:val="24"/>
              </w:rPr>
              <w:t>o e</w:t>
            </w:r>
            <w:r w:rsidRPr="0030391E">
              <w:rPr>
                <w:spacing w:val="-3"/>
                <w:sz w:val="24"/>
                <w:szCs w:val="24"/>
              </w:rPr>
              <w:t>x</w:t>
            </w:r>
            <w:r w:rsidRPr="0030391E">
              <w:rPr>
                <w:sz w:val="24"/>
                <w:szCs w:val="24"/>
              </w:rPr>
              <w:t>ercise</w:t>
            </w:r>
            <w:r w:rsidRPr="0030391E">
              <w:rPr>
                <w:spacing w:val="2"/>
                <w:sz w:val="24"/>
                <w:szCs w:val="24"/>
              </w:rPr>
              <w:t xml:space="preserve"> </w:t>
            </w:r>
            <w:r w:rsidRPr="0030391E">
              <w:rPr>
                <w:spacing w:val="1"/>
                <w:sz w:val="24"/>
                <w:szCs w:val="24"/>
              </w:rPr>
              <w:t>t</w:t>
            </w:r>
            <w:r w:rsidRPr="0030391E">
              <w:rPr>
                <w:sz w:val="24"/>
                <w:szCs w:val="24"/>
              </w:rPr>
              <w:t>h</w:t>
            </w:r>
            <w:r w:rsidRPr="0030391E">
              <w:rPr>
                <w:spacing w:val="-1"/>
                <w:sz w:val="24"/>
                <w:szCs w:val="24"/>
              </w:rPr>
              <w:t>e</w:t>
            </w:r>
            <w:r w:rsidRPr="0030391E">
              <w:rPr>
                <w:sz w:val="24"/>
                <w:szCs w:val="24"/>
              </w:rPr>
              <w:t>ir</w:t>
            </w:r>
            <w:r w:rsidRPr="0030391E">
              <w:rPr>
                <w:spacing w:val="3"/>
                <w:sz w:val="24"/>
                <w:szCs w:val="24"/>
              </w:rPr>
              <w:t xml:space="preserve"> </w:t>
            </w:r>
            <w:r w:rsidRPr="0030391E">
              <w:rPr>
                <w:spacing w:val="-1"/>
                <w:sz w:val="24"/>
                <w:szCs w:val="24"/>
              </w:rPr>
              <w:t>l</w:t>
            </w:r>
            <w:r w:rsidRPr="0030391E">
              <w:rPr>
                <w:spacing w:val="-3"/>
                <w:sz w:val="24"/>
                <w:szCs w:val="24"/>
              </w:rPr>
              <w:t>e</w:t>
            </w:r>
            <w:r w:rsidRPr="0030391E">
              <w:rPr>
                <w:spacing w:val="2"/>
                <w:sz w:val="24"/>
                <w:szCs w:val="24"/>
              </w:rPr>
              <w:t>g</w:t>
            </w:r>
            <w:r w:rsidRPr="0030391E">
              <w:rPr>
                <w:sz w:val="24"/>
                <w:szCs w:val="24"/>
              </w:rPr>
              <w:t>al</w:t>
            </w:r>
            <w:r w:rsidRPr="0030391E">
              <w:rPr>
                <w:spacing w:val="1"/>
                <w:sz w:val="24"/>
                <w:szCs w:val="24"/>
              </w:rPr>
              <w:t xml:space="preserve"> r</w:t>
            </w:r>
            <w:r w:rsidRPr="0030391E">
              <w:rPr>
                <w:spacing w:val="-3"/>
                <w:sz w:val="24"/>
                <w:szCs w:val="24"/>
              </w:rPr>
              <w:t>i</w:t>
            </w:r>
            <w:r w:rsidRPr="0030391E">
              <w:rPr>
                <w:sz w:val="24"/>
                <w:szCs w:val="24"/>
              </w:rPr>
              <w:t>g</w:t>
            </w:r>
            <w:r w:rsidRPr="0030391E">
              <w:rPr>
                <w:spacing w:val="-1"/>
                <w:sz w:val="24"/>
                <w:szCs w:val="24"/>
              </w:rPr>
              <w:t>h</w:t>
            </w:r>
            <w:r w:rsidRPr="0030391E">
              <w:rPr>
                <w:spacing w:val="1"/>
                <w:sz w:val="24"/>
                <w:szCs w:val="24"/>
              </w:rPr>
              <w:t>t</w:t>
            </w:r>
            <w:r w:rsidRPr="0030391E">
              <w:rPr>
                <w:sz w:val="24"/>
                <w:szCs w:val="24"/>
              </w:rPr>
              <w:t>s</w:t>
            </w:r>
          </w:p>
        </w:tc>
        <w:tc>
          <w:tcPr>
            <w:tcW w:w="2500" w:type="dxa"/>
            <w:tcBorders>
              <w:top w:val="single" w:sz="4" w:space="0" w:color="auto"/>
            </w:tcBorders>
            <w:vAlign w:val="center"/>
          </w:tcPr>
          <w:p w:rsidR="008D0413" w:rsidRPr="0030391E" w:rsidRDefault="008D0413" w:rsidP="003005AC">
            <w:pPr>
              <w:ind w:left="-27"/>
              <w:rPr>
                <w:sz w:val="24"/>
                <w:szCs w:val="24"/>
                <w:lang w:val="en-US"/>
              </w:rPr>
            </w:pPr>
            <w:r w:rsidRPr="0030391E">
              <w:rPr>
                <w:sz w:val="24"/>
                <w:szCs w:val="24"/>
                <w:lang w:val="en-US"/>
              </w:rPr>
              <w:t>Legal Clinic Myanmar, Myanmar</w:t>
            </w:r>
          </w:p>
        </w:tc>
        <w:tc>
          <w:tcPr>
            <w:tcW w:w="2500" w:type="dxa"/>
            <w:tcBorders>
              <w:top w:val="single" w:sz="4" w:space="0" w:color="auto"/>
              <w:right w:val="double" w:sz="4" w:space="0" w:color="auto"/>
            </w:tcBorders>
            <w:vAlign w:val="center"/>
          </w:tcPr>
          <w:p w:rsidR="008D0413" w:rsidRDefault="008D0413" w:rsidP="003005AC">
            <w:pPr>
              <w:ind w:left="-27"/>
              <w:rPr>
                <w:sz w:val="24"/>
                <w:szCs w:val="24"/>
                <w:lang w:val="en-US"/>
              </w:rPr>
            </w:pPr>
            <w:r w:rsidRPr="0030391E">
              <w:rPr>
                <w:sz w:val="24"/>
                <w:szCs w:val="24"/>
                <w:lang w:val="en-US"/>
              </w:rPr>
              <w:t>$ 300,000</w:t>
            </w:r>
          </w:p>
          <w:p w:rsidR="008D0413" w:rsidRPr="0030391E" w:rsidRDefault="008D0413" w:rsidP="003005AC">
            <w:pPr>
              <w:ind w:left="-27"/>
              <w:rPr>
                <w:sz w:val="24"/>
                <w:szCs w:val="24"/>
                <w:lang w:val="en-US"/>
              </w:rPr>
            </w:pPr>
            <w:r>
              <w:rPr>
                <w:sz w:val="24"/>
                <w:szCs w:val="24"/>
                <w:lang w:val="en-US"/>
              </w:rPr>
              <w:t>(€ 283,064)</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sidRPr="0030391E">
              <w:rPr>
                <w:color w:val="auto"/>
                <w:spacing w:val="-3"/>
              </w:rPr>
              <w:lastRenderedPageBreak/>
              <w:t xml:space="preserve">Promoting an </w:t>
            </w:r>
            <w:r>
              <w:rPr>
                <w:color w:val="auto"/>
                <w:spacing w:val="-3"/>
              </w:rPr>
              <w:t>equitable and just s</w:t>
            </w:r>
            <w:r w:rsidRPr="0030391E">
              <w:rPr>
                <w:color w:val="auto"/>
                <w:spacing w:val="-3"/>
              </w:rPr>
              <w:t>ociety</w:t>
            </w:r>
            <w:r>
              <w:rPr>
                <w:lang w:val="en-US"/>
              </w:rPr>
              <w:t>- Grant</w:t>
            </w:r>
            <w:r w:rsidRPr="0030391E">
              <w:rPr>
                <w:color w:val="auto"/>
                <w:spacing w:val="-3"/>
              </w:rPr>
              <w:t xml:space="preserve"> </w:t>
            </w:r>
          </w:p>
        </w:tc>
        <w:tc>
          <w:tcPr>
            <w:tcW w:w="2502" w:type="dxa"/>
            <w:tcBorders>
              <w:top w:val="single" w:sz="4" w:space="0" w:color="auto"/>
            </w:tcBorders>
            <w:vAlign w:val="center"/>
          </w:tcPr>
          <w:p w:rsidR="008D0413" w:rsidRPr="0030391E" w:rsidRDefault="008D0413" w:rsidP="003005AC">
            <w:pPr>
              <w:pStyle w:val="Default"/>
              <w:rPr>
                <w:color w:val="auto"/>
                <w:spacing w:val="-3"/>
              </w:rPr>
            </w:pPr>
            <w:r>
              <w:rPr>
                <w:color w:val="auto"/>
                <w:spacing w:val="-3"/>
              </w:rPr>
              <w:t>Strengthening capacities of change agents and CBOs</w:t>
            </w:r>
            <w:r w:rsidRPr="0030391E">
              <w:rPr>
                <w:color w:val="auto"/>
                <w:spacing w:val="-3"/>
              </w:rPr>
              <w:t xml:space="preserve"> </w:t>
            </w:r>
            <w:r>
              <w:rPr>
                <w:color w:val="auto"/>
                <w:spacing w:val="-3"/>
              </w:rPr>
              <w:t>in delivering justice services</w:t>
            </w:r>
          </w:p>
        </w:tc>
        <w:tc>
          <w:tcPr>
            <w:tcW w:w="2500"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Local Resource Centre</w:t>
            </w:r>
            <w:r w:rsidRPr="0030391E">
              <w:rPr>
                <w:lang w:val="en-US"/>
              </w:rPr>
              <w:t>, Myanmar</w:t>
            </w:r>
            <w:r w:rsidRPr="0030391E">
              <w:rPr>
                <w:color w:val="auto"/>
                <w:spacing w:val="-3"/>
              </w:rPr>
              <w:t xml:space="preserve"> </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$ 149,115</w:t>
            </w:r>
          </w:p>
          <w:p w:rsidR="008D0413" w:rsidRPr="0030391E" w:rsidRDefault="008D0413" w:rsidP="003005AC">
            <w:pPr>
              <w:ind w:left="-27"/>
              <w:rPr>
                <w:spacing w:val="-3"/>
                <w:sz w:val="24"/>
                <w:szCs w:val="24"/>
              </w:rPr>
            </w:pPr>
            <w:r>
              <w:rPr>
                <w:spacing w:val="-3"/>
                <w:sz w:val="24"/>
                <w:szCs w:val="24"/>
              </w:rPr>
              <w:t>(</w:t>
            </w:r>
            <w:r>
              <w:rPr>
                <w:sz w:val="24"/>
                <w:szCs w:val="24"/>
                <w:lang w:val="en-US"/>
              </w:rPr>
              <w:t>€139,571)</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Pr>
                <w:color w:val="auto"/>
                <w:spacing w:val="-3"/>
              </w:rPr>
              <w:t>Promoting housing, land, and p</w:t>
            </w:r>
            <w:r w:rsidRPr="0030391E">
              <w:rPr>
                <w:color w:val="auto"/>
                <w:spacing w:val="-3"/>
              </w:rPr>
              <w:t>roperty (HLP) rights protection</w:t>
            </w:r>
            <w:r>
              <w:rPr>
                <w:lang w:val="en-US"/>
              </w:rPr>
              <w:t>- Grant</w:t>
            </w:r>
            <w:r w:rsidRPr="0030391E">
              <w:rPr>
                <w:color w:val="auto"/>
                <w:spacing w:val="-3"/>
              </w:rPr>
              <w:t xml:space="preserve"> </w:t>
            </w:r>
          </w:p>
        </w:tc>
        <w:tc>
          <w:tcPr>
            <w:tcW w:w="2502"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 xml:space="preserve">Enhance avenues for particularly vulnerable communities to pursue their HLP rights </w:t>
            </w:r>
          </w:p>
        </w:tc>
        <w:tc>
          <w:tcPr>
            <w:tcW w:w="2500"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Norwegian Refugee Council, Myanmar</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$ 300,000</w:t>
            </w:r>
          </w:p>
          <w:p w:rsidR="008D0413" w:rsidRPr="0030391E" w:rsidRDefault="008D0413" w:rsidP="003005AC">
            <w:pPr>
              <w:ind w:left="-27"/>
              <w:rPr>
                <w:spacing w:val="-3"/>
                <w:sz w:val="24"/>
                <w:szCs w:val="24"/>
              </w:rPr>
            </w:pPr>
            <w:r>
              <w:rPr>
                <w:spacing w:val="-3"/>
                <w:sz w:val="24"/>
                <w:szCs w:val="24"/>
              </w:rPr>
              <w:t>(</w:t>
            </w:r>
            <w:r>
              <w:rPr>
                <w:sz w:val="24"/>
                <w:szCs w:val="24"/>
                <w:lang w:val="en-US"/>
              </w:rPr>
              <w:t>€ 280,800)</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Pr>
                <w:color w:val="auto"/>
                <w:spacing w:val="-3"/>
              </w:rPr>
              <w:t>Youth action for j</w:t>
            </w:r>
            <w:r w:rsidRPr="0030391E">
              <w:rPr>
                <w:color w:val="auto"/>
                <w:spacing w:val="-3"/>
              </w:rPr>
              <w:t>ustice</w:t>
            </w:r>
            <w:r>
              <w:rPr>
                <w:lang w:val="en-US"/>
              </w:rPr>
              <w:t>- Grant</w:t>
            </w:r>
            <w:r w:rsidRPr="0030391E">
              <w:rPr>
                <w:color w:val="auto"/>
                <w:spacing w:val="-3"/>
              </w:rPr>
              <w:t xml:space="preserve"> </w:t>
            </w:r>
          </w:p>
        </w:tc>
        <w:tc>
          <w:tcPr>
            <w:tcW w:w="2502"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Improve access to formal justice for children in cont</w:t>
            </w:r>
            <w:r>
              <w:rPr>
                <w:color w:val="auto"/>
                <w:spacing w:val="-3"/>
              </w:rPr>
              <w:t>act with the law and strengthen</w:t>
            </w:r>
            <w:r w:rsidRPr="0030391E">
              <w:rPr>
                <w:color w:val="auto"/>
                <w:spacing w:val="-3"/>
              </w:rPr>
              <w:t xml:space="preserve"> the capacity of formal and informal justice actors to provide improved legal services </w:t>
            </w:r>
          </w:p>
        </w:tc>
        <w:tc>
          <w:tcPr>
            <w:tcW w:w="2500"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Terre des hommes</w:t>
            </w:r>
            <w:r w:rsidRPr="0030391E">
              <w:rPr>
                <w:spacing w:val="-3"/>
              </w:rPr>
              <w:t>, Myanmar</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$ 300,000</w:t>
            </w:r>
          </w:p>
          <w:p w:rsidR="008D0413" w:rsidRPr="0030391E" w:rsidRDefault="008D0413" w:rsidP="003005AC">
            <w:pPr>
              <w:ind w:left="-27"/>
              <w:rPr>
                <w:spacing w:val="-3"/>
                <w:sz w:val="24"/>
                <w:szCs w:val="24"/>
              </w:rPr>
            </w:pPr>
            <w:r>
              <w:rPr>
                <w:spacing w:val="-3"/>
                <w:sz w:val="24"/>
                <w:szCs w:val="24"/>
              </w:rPr>
              <w:t>(</w:t>
            </w:r>
            <w:r>
              <w:rPr>
                <w:sz w:val="24"/>
                <w:szCs w:val="24"/>
                <w:lang w:val="en-US"/>
              </w:rPr>
              <w:t>€ 280,800)</w:t>
            </w:r>
          </w:p>
        </w:tc>
      </w:tr>
      <w:tr w:rsidR="008D0413" w:rsidRPr="0030391E" w:rsidTr="008D0413">
        <w:trPr>
          <w:trHeight w:val="1039"/>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Pr>
                <w:color w:val="auto"/>
                <w:spacing w:val="-3"/>
              </w:rPr>
              <w:t>Providing services to protect peasants’ r</w:t>
            </w:r>
            <w:r w:rsidRPr="0030391E">
              <w:rPr>
                <w:color w:val="auto"/>
                <w:spacing w:val="-3"/>
              </w:rPr>
              <w:t>ights</w:t>
            </w:r>
            <w:r>
              <w:rPr>
                <w:lang w:val="en-US"/>
              </w:rPr>
              <w:t>- Grant</w:t>
            </w:r>
            <w:r w:rsidRPr="0030391E">
              <w:rPr>
                <w:color w:val="auto"/>
                <w:spacing w:val="-3"/>
              </w:rPr>
              <w:t xml:space="preserve"> </w:t>
            </w:r>
          </w:p>
        </w:tc>
        <w:tc>
          <w:tcPr>
            <w:tcW w:w="2502"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Provide services</w:t>
            </w:r>
            <w:r>
              <w:rPr>
                <w:color w:val="auto"/>
                <w:spacing w:val="-3"/>
              </w:rPr>
              <w:t xml:space="preserve"> to the community</w:t>
            </w:r>
            <w:r w:rsidRPr="0030391E">
              <w:rPr>
                <w:color w:val="auto"/>
                <w:spacing w:val="-3"/>
              </w:rPr>
              <w:t xml:space="preserve"> </w:t>
            </w:r>
            <w:r>
              <w:rPr>
                <w:color w:val="auto"/>
                <w:spacing w:val="-3"/>
              </w:rPr>
              <w:t xml:space="preserve">to access </w:t>
            </w:r>
            <w:r w:rsidRPr="0030391E">
              <w:rPr>
                <w:color w:val="auto"/>
                <w:spacing w:val="-3"/>
              </w:rPr>
              <w:t>land rights</w:t>
            </w:r>
          </w:p>
        </w:tc>
        <w:tc>
          <w:tcPr>
            <w:tcW w:w="2500"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Genuine People’s Servants, Myanmar</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$ 50,000</w:t>
            </w:r>
            <w:r>
              <w:rPr>
                <w:spacing w:val="-3"/>
                <w:sz w:val="24"/>
                <w:szCs w:val="24"/>
              </w:rPr>
              <w:t xml:space="preserve"> </w:t>
            </w:r>
          </w:p>
          <w:p w:rsidR="008D0413" w:rsidRPr="0030391E" w:rsidRDefault="008D0413" w:rsidP="003005AC">
            <w:pPr>
              <w:ind w:left="-27"/>
              <w:rPr>
                <w:spacing w:val="-3"/>
                <w:sz w:val="24"/>
                <w:szCs w:val="24"/>
              </w:rPr>
            </w:pPr>
            <w:r>
              <w:rPr>
                <w:spacing w:val="-3"/>
                <w:sz w:val="24"/>
                <w:szCs w:val="24"/>
              </w:rPr>
              <w:t>(</w:t>
            </w:r>
            <w:r>
              <w:rPr>
                <w:sz w:val="24"/>
                <w:szCs w:val="24"/>
                <w:lang w:val="en-US"/>
              </w:rPr>
              <w:t>€ 46,800)</w:t>
            </w:r>
          </w:p>
        </w:tc>
      </w:tr>
      <w:tr w:rsidR="008D0413" w:rsidRPr="0030391E" w:rsidTr="008D0413">
        <w:trPr>
          <w:trHeight w:val="1571"/>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Pr>
                <w:color w:val="auto"/>
                <w:spacing w:val="-3"/>
              </w:rPr>
              <w:t>Empowering and advocating for villagers’ r</w:t>
            </w:r>
            <w:r w:rsidRPr="0030391E">
              <w:rPr>
                <w:color w:val="auto"/>
                <w:spacing w:val="-3"/>
              </w:rPr>
              <w:t>ights</w:t>
            </w:r>
            <w:r>
              <w:rPr>
                <w:lang w:val="en-US"/>
              </w:rPr>
              <w:t>- Grant</w:t>
            </w:r>
            <w:r w:rsidRPr="0030391E">
              <w:rPr>
                <w:color w:val="auto"/>
                <w:spacing w:val="-3"/>
              </w:rPr>
              <w:t xml:space="preserve"> </w:t>
            </w:r>
          </w:p>
        </w:tc>
        <w:tc>
          <w:tcPr>
            <w:tcW w:w="2502" w:type="dxa"/>
            <w:tcBorders>
              <w:top w:val="single" w:sz="4" w:space="0" w:color="auto"/>
            </w:tcBorders>
            <w:vAlign w:val="center"/>
          </w:tcPr>
          <w:p w:rsidR="008D0413" w:rsidRPr="0030391E" w:rsidRDefault="008D0413" w:rsidP="003005AC">
            <w:pPr>
              <w:pStyle w:val="Default"/>
              <w:rPr>
                <w:color w:val="auto"/>
                <w:spacing w:val="-3"/>
              </w:rPr>
            </w:pPr>
            <w:r>
              <w:rPr>
                <w:color w:val="auto"/>
                <w:spacing w:val="-3"/>
              </w:rPr>
              <w:t>Human rights documentation and advocacy</w:t>
            </w:r>
          </w:p>
        </w:tc>
        <w:tc>
          <w:tcPr>
            <w:tcW w:w="2500"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Karen Human Rights Group, Myanmar</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$ 50,000</w:t>
            </w:r>
          </w:p>
          <w:p w:rsidR="008D0413" w:rsidRPr="0030391E" w:rsidRDefault="008D0413" w:rsidP="003005AC">
            <w:pPr>
              <w:ind w:left="-27"/>
              <w:rPr>
                <w:spacing w:val="-3"/>
                <w:sz w:val="24"/>
                <w:szCs w:val="24"/>
              </w:rPr>
            </w:pPr>
            <w:r>
              <w:rPr>
                <w:spacing w:val="-3"/>
                <w:sz w:val="24"/>
                <w:szCs w:val="24"/>
              </w:rPr>
              <w:t>(</w:t>
            </w:r>
            <w:r>
              <w:rPr>
                <w:sz w:val="24"/>
                <w:szCs w:val="24"/>
                <w:lang w:val="en-US"/>
              </w:rPr>
              <w:t>€ 47,177)</w:t>
            </w:r>
          </w:p>
        </w:tc>
      </w:tr>
      <w:tr w:rsidR="008D0413" w:rsidRPr="0030391E" w:rsidTr="008D0413">
        <w:trPr>
          <w:trHeight w:val="1673"/>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sidRPr="0030391E">
              <w:rPr>
                <w:color w:val="auto"/>
                <w:spacing w:val="-3"/>
              </w:rPr>
              <w:t xml:space="preserve">Promoting legal awareness and prevention from abuses towards LGBT </w:t>
            </w:r>
            <w:r>
              <w:rPr>
                <w:lang w:val="en-US"/>
              </w:rPr>
              <w:t>- Grant</w:t>
            </w:r>
          </w:p>
        </w:tc>
        <w:tc>
          <w:tcPr>
            <w:tcW w:w="2502" w:type="dxa"/>
            <w:tcBorders>
              <w:top w:val="single" w:sz="4" w:space="0" w:color="auto"/>
            </w:tcBorders>
            <w:vAlign w:val="center"/>
          </w:tcPr>
          <w:p w:rsidR="008D0413" w:rsidRPr="0030391E" w:rsidRDefault="008D0413" w:rsidP="003005AC">
            <w:pPr>
              <w:ind w:left="-27"/>
              <w:rPr>
                <w:spacing w:val="-3"/>
                <w:sz w:val="24"/>
                <w:szCs w:val="24"/>
              </w:rPr>
            </w:pPr>
            <w:r w:rsidRPr="0030391E">
              <w:rPr>
                <w:spacing w:val="-3"/>
                <w:sz w:val="24"/>
                <w:szCs w:val="24"/>
              </w:rPr>
              <w:t>Promote LGBT rights</w:t>
            </w:r>
          </w:p>
        </w:tc>
        <w:tc>
          <w:tcPr>
            <w:tcW w:w="2500" w:type="dxa"/>
            <w:tcBorders>
              <w:top w:val="single" w:sz="4" w:space="0" w:color="auto"/>
            </w:tcBorders>
            <w:vAlign w:val="center"/>
          </w:tcPr>
          <w:p w:rsidR="008D0413" w:rsidRPr="0030391E" w:rsidRDefault="008D0413" w:rsidP="003005AC">
            <w:pPr>
              <w:ind w:left="-27"/>
              <w:rPr>
                <w:spacing w:val="-3"/>
                <w:sz w:val="24"/>
                <w:szCs w:val="24"/>
              </w:rPr>
            </w:pPr>
            <w:r w:rsidRPr="0030391E">
              <w:rPr>
                <w:spacing w:val="-3"/>
                <w:sz w:val="24"/>
                <w:szCs w:val="24"/>
              </w:rPr>
              <w:t>Kings N Queens, Myanmar</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$ 49,923</w:t>
            </w:r>
          </w:p>
          <w:p w:rsidR="008D0413" w:rsidRPr="0030391E" w:rsidRDefault="008D0413" w:rsidP="003005AC">
            <w:pPr>
              <w:ind w:left="-27"/>
              <w:rPr>
                <w:spacing w:val="-3"/>
                <w:sz w:val="24"/>
                <w:szCs w:val="24"/>
              </w:rPr>
            </w:pPr>
            <w:r>
              <w:rPr>
                <w:spacing w:val="-3"/>
                <w:sz w:val="24"/>
                <w:szCs w:val="24"/>
              </w:rPr>
              <w:t>(</w:t>
            </w:r>
            <w:r>
              <w:rPr>
                <w:sz w:val="24"/>
                <w:szCs w:val="24"/>
                <w:lang w:val="en-US"/>
              </w:rPr>
              <w:t>€ 46,728)</w:t>
            </w:r>
          </w:p>
        </w:tc>
      </w:tr>
      <w:tr w:rsidR="008D0413" w:rsidRPr="0030391E" w:rsidTr="008D0413">
        <w:trPr>
          <w:trHeight w:val="1944"/>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sidRPr="0030391E">
              <w:rPr>
                <w:color w:val="auto"/>
                <w:spacing w:val="-3"/>
              </w:rPr>
              <w:t>Justice access and raising legal awaren</w:t>
            </w:r>
            <w:r>
              <w:rPr>
                <w:color w:val="auto"/>
                <w:spacing w:val="-3"/>
              </w:rPr>
              <w:t xml:space="preserve">ess for children and women in </w:t>
            </w:r>
            <w:proofErr w:type="spellStart"/>
            <w:r>
              <w:rPr>
                <w:color w:val="auto"/>
                <w:spacing w:val="-3"/>
              </w:rPr>
              <w:t>H</w:t>
            </w:r>
            <w:r w:rsidRPr="0030391E">
              <w:rPr>
                <w:color w:val="auto"/>
                <w:spacing w:val="-3"/>
              </w:rPr>
              <w:t>l</w:t>
            </w:r>
            <w:r>
              <w:rPr>
                <w:color w:val="auto"/>
                <w:spacing w:val="-3"/>
              </w:rPr>
              <w:t>a</w:t>
            </w:r>
            <w:r w:rsidRPr="0030391E">
              <w:rPr>
                <w:color w:val="auto"/>
                <w:spacing w:val="-3"/>
              </w:rPr>
              <w:t>ing</w:t>
            </w:r>
            <w:proofErr w:type="spellEnd"/>
            <w:r w:rsidRPr="0030391E">
              <w:rPr>
                <w:color w:val="auto"/>
                <w:spacing w:val="-3"/>
              </w:rPr>
              <w:t xml:space="preserve"> </w:t>
            </w:r>
            <w:proofErr w:type="spellStart"/>
            <w:r w:rsidRPr="0030391E">
              <w:rPr>
                <w:color w:val="auto"/>
                <w:spacing w:val="-3"/>
              </w:rPr>
              <w:t>Thar</w:t>
            </w:r>
            <w:proofErr w:type="spellEnd"/>
            <w:r w:rsidRPr="0030391E">
              <w:rPr>
                <w:color w:val="auto"/>
                <w:spacing w:val="-3"/>
              </w:rPr>
              <w:t xml:space="preserve"> </w:t>
            </w:r>
            <w:proofErr w:type="spellStart"/>
            <w:r w:rsidRPr="0030391E">
              <w:rPr>
                <w:color w:val="auto"/>
                <w:spacing w:val="-3"/>
              </w:rPr>
              <w:t>Yar</w:t>
            </w:r>
            <w:proofErr w:type="spellEnd"/>
            <w:r w:rsidRPr="0030391E">
              <w:rPr>
                <w:color w:val="auto"/>
                <w:spacing w:val="-3"/>
              </w:rPr>
              <w:t xml:space="preserve"> </w:t>
            </w:r>
            <w:r>
              <w:rPr>
                <w:lang w:val="en-US"/>
              </w:rPr>
              <w:t>- Grant</w:t>
            </w:r>
          </w:p>
        </w:tc>
        <w:tc>
          <w:tcPr>
            <w:tcW w:w="2502" w:type="dxa"/>
            <w:tcBorders>
              <w:top w:val="single" w:sz="4" w:space="0" w:color="auto"/>
            </w:tcBorders>
            <w:vAlign w:val="center"/>
          </w:tcPr>
          <w:p w:rsidR="008D0413" w:rsidRPr="0030391E" w:rsidRDefault="008D0413" w:rsidP="003005AC">
            <w:pPr>
              <w:ind w:left="-27"/>
              <w:rPr>
                <w:spacing w:val="-3"/>
                <w:sz w:val="24"/>
                <w:szCs w:val="24"/>
              </w:rPr>
            </w:pPr>
            <w:r>
              <w:rPr>
                <w:spacing w:val="-3"/>
                <w:sz w:val="24"/>
                <w:szCs w:val="24"/>
              </w:rPr>
              <w:t>Supporting access to j</w:t>
            </w:r>
            <w:r w:rsidRPr="0013681F">
              <w:rPr>
                <w:spacing w:val="-3"/>
                <w:sz w:val="24"/>
                <w:szCs w:val="24"/>
              </w:rPr>
              <w:t>ustice for children and women</w:t>
            </w:r>
          </w:p>
        </w:tc>
        <w:tc>
          <w:tcPr>
            <w:tcW w:w="2500" w:type="dxa"/>
            <w:tcBorders>
              <w:top w:val="single" w:sz="4" w:space="0" w:color="auto"/>
            </w:tcBorders>
            <w:vAlign w:val="center"/>
          </w:tcPr>
          <w:p w:rsidR="008D0413" w:rsidRPr="0030391E" w:rsidRDefault="008D0413" w:rsidP="003005AC">
            <w:pPr>
              <w:pStyle w:val="Default"/>
              <w:rPr>
                <w:color w:val="auto"/>
                <w:spacing w:val="-3"/>
              </w:rPr>
            </w:pPr>
            <w:proofErr w:type="spellStart"/>
            <w:r w:rsidRPr="0030391E">
              <w:rPr>
                <w:color w:val="auto"/>
                <w:spacing w:val="-3"/>
              </w:rPr>
              <w:t>Ratana</w:t>
            </w:r>
            <w:proofErr w:type="spellEnd"/>
            <w:r w:rsidRPr="0030391E">
              <w:rPr>
                <w:color w:val="auto"/>
                <w:spacing w:val="-3"/>
              </w:rPr>
              <w:t xml:space="preserve"> </w:t>
            </w:r>
            <w:proofErr w:type="spellStart"/>
            <w:r w:rsidRPr="0030391E">
              <w:rPr>
                <w:color w:val="auto"/>
                <w:spacing w:val="-3"/>
              </w:rPr>
              <w:t>Metta</w:t>
            </w:r>
            <w:proofErr w:type="spellEnd"/>
            <w:r w:rsidRPr="0030391E">
              <w:rPr>
                <w:color w:val="auto"/>
                <w:spacing w:val="-3"/>
              </w:rPr>
              <w:t xml:space="preserve"> Organization, Myanmar</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$ 49,926</w:t>
            </w:r>
          </w:p>
          <w:p w:rsidR="008D0413" w:rsidRPr="0030391E" w:rsidRDefault="008D0413" w:rsidP="003005AC">
            <w:pPr>
              <w:ind w:left="-27"/>
              <w:rPr>
                <w:spacing w:val="-3"/>
                <w:sz w:val="24"/>
                <w:szCs w:val="24"/>
              </w:rPr>
            </w:pPr>
            <w:r w:rsidRPr="00147034">
              <w:rPr>
                <w:spacing w:val="-3"/>
                <w:sz w:val="24"/>
                <w:szCs w:val="24"/>
              </w:rPr>
              <w:t>(€46,731)</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Pr>
                <w:color w:val="auto"/>
                <w:spacing w:val="-3"/>
              </w:rPr>
              <w:t>Access to employment j</w:t>
            </w:r>
            <w:r w:rsidRPr="0030391E">
              <w:rPr>
                <w:color w:val="auto"/>
                <w:spacing w:val="-3"/>
              </w:rPr>
              <w:t xml:space="preserve">ustice </w:t>
            </w:r>
            <w:r>
              <w:rPr>
                <w:lang w:val="en-US"/>
              </w:rPr>
              <w:t>- Grant</w:t>
            </w:r>
          </w:p>
        </w:tc>
        <w:tc>
          <w:tcPr>
            <w:tcW w:w="2502"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 xml:space="preserve">Supports workers' self-organisation and collective action, and contributes to building a sustainable labour movement </w:t>
            </w:r>
          </w:p>
        </w:tc>
        <w:tc>
          <w:tcPr>
            <w:tcW w:w="2500" w:type="dxa"/>
            <w:tcBorders>
              <w:top w:val="single" w:sz="4" w:space="0" w:color="auto"/>
            </w:tcBorders>
            <w:vAlign w:val="center"/>
          </w:tcPr>
          <w:p w:rsidR="008D0413" w:rsidRPr="0030391E" w:rsidRDefault="008D0413" w:rsidP="003005AC">
            <w:pPr>
              <w:pStyle w:val="Default"/>
              <w:rPr>
                <w:color w:val="auto"/>
                <w:spacing w:val="-3"/>
              </w:rPr>
            </w:pPr>
            <w:proofErr w:type="spellStart"/>
            <w:r w:rsidRPr="0030391E">
              <w:rPr>
                <w:color w:val="auto"/>
                <w:spacing w:val="-3"/>
              </w:rPr>
              <w:t>Yaung</w:t>
            </w:r>
            <w:proofErr w:type="spellEnd"/>
            <w:r w:rsidRPr="0030391E">
              <w:rPr>
                <w:color w:val="auto"/>
                <w:spacing w:val="-3"/>
              </w:rPr>
              <w:t xml:space="preserve"> Chi </w:t>
            </w:r>
            <w:proofErr w:type="spellStart"/>
            <w:r w:rsidRPr="0030391E">
              <w:rPr>
                <w:color w:val="auto"/>
                <w:spacing w:val="-3"/>
              </w:rPr>
              <w:t>Oo</w:t>
            </w:r>
            <w:proofErr w:type="spellEnd"/>
            <w:r w:rsidRPr="0030391E">
              <w:rPr>
                <w:color w:val="auto"/>
                <w:spacing w:val="-3"/>
              </w:rPr>
              <w:t xml:space="preserve"> Workers Association, Myanmar</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$ 48,991</w:t>
            </w:r>
          </w:p>
          <w:p w:rsidR="008D0413" w:rsidRPr="0030391E" w:rsidRDefault="008D0413" w:rsidP="003005AC">
            <w:pPr>
              <w:ind w:left="-27"/>
              <w:rPr>
                <w:spacing w:val="-3"/>
                <w:sz w:val="24"/>
                <w:szCs w:val="24"/>
              </w:rPr>
            </w:pPr>
            <w:r w:rsidRPr="00147034">
              <w:rPr>
                <w:spacing w:val="-3"/>
                <w:sz w:val="24"/>
                <w:szCs w:val="24"/>
              </w:rPr>
              <w:t>(€45,856)</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pStyle w:val="Default"/>
            </w:pPr>
            <w:r w:rsidRPr="0030391E">
              <w:t>Mobilising public opinion through development of justice score card</w:t>
            </w:r>
            <w:r>
              <w:rPr>
                <w:lang w:val="en-US"/>
              </w:rPr>
              <w:t>- Grant</w:t>
            </w:r>
          </w:p>
        </w:tc>
        <w:tc>
          <w:tcPr>
            <w:tcW w:w="2502" w:type="dxa"/>
            <w:tcBorders>
              <w:top w:val="single" w:sz="4" w:space="0" w:color="auto"/>
            </w:tcBorders>
            <w:vAlign w:val="center"/>
          </w:tcPr>
          <w:p w:rsidR="008D0413" w:rsidRPr="0030391E" w:rsidRDefault="008D0413" w:rsidP="003005AC">
            <w:pPr>
              <w:pStyle w:val="Default"/>
            </w:pPr>
            <w:r w:rsidRPr="0030391E">
              <w:t xml:space="preserve">Develop public monitoring system on the performance of the state institutions and its personnel. </w:t>
            </w:r>
            <w:r w:rsidRPr="0030391E">
              <w:br/>
            </w:r>
          </w:p>
        </w:tc>
        <w:tc>
          <w:tcPr>
            <w:tcW w:w="2500"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Loka Ahlinn Social Development Network</w:t>
            </w:r>
          </w:p>
        </w:tc>
        <w:tc>
          <w:tcPr>
            <w:tcW w:w="2500" w:type="dxa"/>
            <w:tcBorders>
              <w:top w:val="single" w:sz="4" w:space="0" w:color="auto"/>
              <w:right w:val="double" w:sz="4" w:space="0" w:color="auto"/>
            </w:tcBorders>
            <w:vAlign w:val="center"/>
          </w:tcPr>
          <w:p w:rsidR="008D0413" w:rsidRDefault="008D0413" w:rsidP="003005AC">
            <w:pPr>
              <w:ind w:left="-27"/>
              <w:rPr>
                <w:spacing w:val="-3"/>
                <w:sz w:val="24"/>
                <w:szCs w:val="24"/>
              </w:rPr>
            </w:pPr>
            <w:r w:rsidRPr="0030391E">
              <w:rPr>
                <w:spacing w:val="-3"/>
                <w:sz w:val="24"/>
                <w:szCs w:val="24"/>
              </w:rPr>
              <w:t>$ 33</w:t>
            </w:r>
            <w:r>
              <w:rPr>
                <w:spacing w:val="-3"/>
                <w:sz w:val="24"/>
                <w:szCs w:val="24"/>
              </w:rPr>
              <w:t>,</w:t>
            </w:r>
            <w:r w:rsidRPr="0030391E">
              <w:rPr>
                <w:spacing w:val="-3"/>
                <w:sz w:val="24"/>
                <w:szCs w:val="24"/>
              </w:rPr>
              <w:t xml:space="preserve">058 </w:t>
            </w:r>
          </w:p>
          <w:p w:rsidR="008D0413" w:rsidRPr="0030391E" w:rsidRDefault="008D0413" w:rsidP="003005AC">
            <w:pPr>
              <w:ind w:left="-27"/>
              <w:rPr>
                <w:spacing w:val="-3"/>
                <w:sz w:val="24"/>
                <w:szCs w:val="24"/>
              </w:rPr>
            </w:pPr>
            <w:r w:rsidRPr="00147034">
              <w:rPr>
                <w:spacing w:val="-3"/>
                <w:sz w:val="24"/>
                <w:szCs w:val="24"/>
              </w:rPr>
              <w:t>(€29,184)</w:t>
            </w:r>
          </w:p>
        </w:tc>
      </w:tr>
      <w:tr w:rsidR="008D0413" w:rsidRPr="0030391E" w:rsidTr="008D0413">
        <w:trPr>
          <w:trHeight w:val="2550"/>
        </w:trPr>
        <w:tc>
          <w:tcPr>
            <w:tcW w:w="2502" w:type="dxa"/>
            <w:tcBorders>
              <w:top w:val="single" w:sz="4" w:space="0" w:color="auto"/>
              <w:left w:val="double" w:sz="4" w:space="0" w:color="auto"/>
            </w:tcBorders>
            <w:vAlign w:val="center"/>
          </w:tcPr>
          <w:p w:rsidR="008D0413" w:rsidRPr="0030391E" w:rsidRDefault="008D0413" w:rsidP="003005AC">
            <w:pPr>
              <w:pStyle w:val="Default"/>
              <w:rPr>
                <w:color w:val="auto"/>
                <w:spacing w:val="-3"/>
              </w:rPr>
            </w:pPr>
            <w:r w:rsidRPr="0030391E">
              <w:rPr>
                <w:color w:val="auto"/>
                <w:spacing w:val="-3"/>
              </w:rPr>
              <w:lastRenderedPageBreak/>
              <w:t>Strengt</w:t>
            </w:r>
            <w:r>
              <w:rPr>
                <w:color w:val="auto"/>
                <w:spacing w:val="-3"/>
              </w:rPr>
              <w:t>hening knowledge and skills of rights–based dispute resolution for deputy staff officers and ward and v</w:t>
            </w:r>
            <w:r w:rsidRPr="0030391E">
              <w:rPr>
                <w:color w:val="auto"/>
                <w:spacing w:val="-3"/>
              </w:rPr>
              <w:t xml:space="preserve">illage tract </w:t>
            </w:r>
            <w:r>
              <w:rPr>
                <w:color w:val="auto"/>
                <w:spacing w:val="-3"/>
              </w:rPr>
              <w:t>a</w:t>
            </w:r>
            <w:r w:rsidRPr="0030391E">
              <w:rPr>
                <w:color w:val="auto"/>
                <w:spacing w:val="-3"/>
              </w:rPr>
              <w:t>dministrators</w:t>
            </w:r>
            <w:r>
              <w:rPr>
                <w:lang w:val="en-US"/>
              </w:rPr>
              <w:t>- Grant</w:t>
            </w:r>
          </w:p>
        </w:tc>
        <w:tc>
          <w:tcPr>
            <w:tcW w:w="2502" w:type="dxa"/>
            <w:tcBorders>
              <w:top w:val="single" w:sz="4" w:space="0" w:color="auto"/>
            </w:tcBorders>
            <w:vAlign w:val="center"/>
          </w:tcPr>
          <w:p w:rsidR="008D0413" w:rsidRPr="0030391E" w:rsidRDefault="008D0413" w:rsidP="003005AC">
            <w:pPr>
              <w:pStyle w:val="Default"/>
              <w:rPr>
                <w:color w:val="auto"/>
                <w:spacing w:val="-3"/>
              </w:rPr>
            </w:pPr>
            <w:r>
              <w:rPr>
                <w:color w:val="auto"/>
                <w:spacing w:val="-3"/>
              </w:rPr>
              <w:t>Strengthen</w:t>
            </w:r>
            <w:r w:rsidRPr="0030391E">
              <w:rPr>
                <w:color w:val="auto"/>
                <w:spacing w:val="-3"/>
              </w:rPr>
              <w:t xml:space="preserve"> dispute resolution skills and confidence of  ward and village tract administrators</w:t>
            </w:r>
          </w:p>
        </w:tc>
        <w:tc>
          <w:tcPr>
            <w:tcW w:w="2500"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Mercy Corps</w:t>
            </w:r>
          </w:p>
        </w:tc>
        <w:tc>
          <w:tcPr>
            <w:tcW w:w="2500" w:type="dxa"/>
            <w:tcBorders>
              <w:top w:val="single" w:sz="4" w:space="0" w:color="auto"/>
              <w:right w:val="double" w:sz="4" w:space="0" w:color="auto"/>
            </w:tcBorders>
            <w:vAlign w:val="center"/>
          </w:tcPr>
          <w:p w:rsidR="008D0413" w:rsidRPr="0030391E" w:rsidRDefault="00222A8D" w:rsidP="003005AC">
            <w:pPr>
              <w:ind w:left="-27"/>
              <w:rPr>
                <w:spacing w:val="-3"/>
                <w:sz w:val="24"/>
                <w:szCs w:val="24"/>
              </w:rPr>
            </w:pPr>
            <w:r>
              <w:rPr>
                <w:spacing w:val="-3"/>
                <w:sz w:val="24"/>
                <w:szCs w:val="24"/>
              </w:rPr>
              <w:t>€</w:t>
            </w:r>
            <w:r w:rsidR="008D0413" w:rsidRPr="0030391E">
              <w:rPr>
                <w:spacing w:val="-3"/>
                <w:sz w:val="24"/>
                <w:szCs w:val="24"/>
              </w:rPr>
              <w:t xml:space="preserve"> 579,489</w:t>
            </w:r>
          </w:p>
        </w:tc>
      </w:tr>
      <w:tr w:rsidR="008D0413" w:rsidRPr="0030391E" w:rsidTr="008D0413">
        <w:trPr>
          <w:trHeight w:val="833"/>
        </w:trPr>
        <w:tc>
          <w:tcPr>
            <w:tcW w:w="2502" w:type="dxa"/>
            <w:tcBorders>
              <w:top w:val="single" w:sz="4" w:space="0" w:color="auto"/>
              <w:left w:val="double" w:sz="4" w:space="0" w:color="auto"/>
            </w:tcBorders>
            <w:vAlign w:val="center"/>
          </w:tcPr>
          <w:p w:rsidR="008D0413" w:rsidRPr="0030391E" w:rsidRDefault="008D0413" w:rsidP="003005AC">
            <w:pPr>
              <w:pStyle w:val="Default"/>
            </w:pPr>
            <w:r>
              <w:t>Making access to justice s</w:t>
            </w:r>
            <w:r w:rsidRPr="0030391E">
              <w:t xml:space="preserve">ustainable in Myanmar </w:t>
            </w:r>
            <w:r>
              <w:rPr>
                <w:lang w:val="en-US"/>
              </w:rPr>
              <w:t>- Grant</w:t>
            </w:r>
          </w:p>
          <w:p w:rsidR="008D0413" w:rsidRPr="0030391E" w:rsidRDefault="008D0413" w:rsidP="003005AC">
            <w:pPr>
              <w:pStyle w:val="Default"/>
              <w:rPr>
                <w:color w:val="auto"/>
                <w:spacing w:val="-3"/>
              </w:rPr>
            </w:pPr>
          </w:p>
        </w:tc>
        <w:tc>
          <w:tcPr>
            <w:tcW w:w="2502" w:type="dxa"/>
            <w:tcBorders>
              <w:top w:val="single" w:sz="4" w:space="0" w:color="auto"/>
            </w:tcBorders>
            <w:vAlign w:val="center"/>
          </w:tcPr>
          <w:p w:rsidR="008D0413" w:rsidRPr="0030391E" w:rsidRDefault="008D0413" w:rsidP="003005AC">
            <w:pPr>
              <w:pStyle w:val="Default"/>
              <w:rPr>
                <w:color w:val="auto"/>
                <w:spacing w:val="-3"/>
              </w:rPr>
            </w:pPr>
            <w:r>
              <w:t>Establishment of</w:t>
            </w:r>
            <w:r w:rsidRPr="0030391E">
              <w:t xml:space="preserve"> Justice Centres (JCs)</w:t>
            </w:r>
            <w:r>
              <w:t xml:space="preserve"> to provide legal aid services</w:t>
            </w:r>
            <w:r w:rsidRPr="0030391E">
              <w:t xml:space="preserve"> in </w:t>
            </w:r>
            <w:r>
              <w:t xml:space="preserve">Mandalay, </w:t>
            </w:r>
            <w:proofErr w:type="spellStart"/>
            <w:r>
              <w:t>Taunggyi</w:t>
            </w:r>
            <w:proofErr w:type="spellEnd"/>
            <w:r>
              <w:t xml:space="preserve">, </w:t>
            </w:r>
            <w:proofErr w:type="spellStart"/>
            <w:r>
              <w:t>Hpa</w:t>
            </w:r>
            <w:proofErr w:type="spellEnd"/>
            <w:r>
              <w:t xml:space="preserve">-An and </w:t>
            </w:r>
            <w:proofErr w:type="spellStart"/>
            <w:r>
              <w:t>Taungoo</w:t>
            </w:r>
            <w:proofErr w:type="spellEnd"/>
          </w:p>
        </w:tc>
        <w:tc>
          <w:tcPr>
            <w:tcW w:w="2500" w:type="dxa"/>
            <w:tcBorders>
              <w:top w:val="single" w:sz="4" w:space="0" w:color="auto"/>
            </w:tcBorders>
            <w:vAlign w:val="center"/>
          </w:tcPr>
          <w:p w:rsidR="008D0413" w:rsidRPr="0030391E" w:rsidRDefault="008D0413" w:rsidP="003005AC">
            <w:pPr>
              <w:pStyle w:val="Default"/>
              <w:rPr>
                <w:color w:val="auto"/>
                <w:spacing w:val="-3"/>
              </w:rPr>
            </w:pPr>
            <w:r w:rsidRPr="0030391E">
              <w:rPr>
                <w:color w:val="auto"/>
                <w:spacing w:val="-3"/>
              </w:rPr>
              <w:t>International Bridges to Justice</w:t>
            </w:r>
          </w:p>
        </w:tc>
        <w:tc>
          <w:tcPr>
            <w:tcW w:w="2500" w:type="dxa"/>
            <w:tcBorders>
              <w:top w:val="single" w:sz="4" w:space="0" w:color="auto"/>
              <w:right w:val="double" w:sz="4" w:space="0" w:color="auto"/>
            </w:tcBorders>
            <w:vAlign w:val="center"/>
          </w:tcPr>
          <w:p w:rsidR="008D0413" w:rsidRPr="0030391E" w:rsidRDefault="00222A8D" w:rsidP="003005AC">
            <w:pPr>
              <w:ind w:left="-27"/>
              <w:rPr>
                <w:spacing w:val="-3"/>
                <w:sz w:val="24"/>
                <w:szCs w:val="24"/>
              </w:rPr>
            </w:pPr>
            <w:r>
              <w:rPr>
                <w:spacing w:val="-3"/>
                <w:sz w:val="24"/>
                <w:szCs w:val="24"/>
              </w:rPr>
              <w:t>€</w:t>
            </w:r>
            <w:r w:rsidR="008D0413" w:rsidRPr="0030391E">
              <w:rPr>
                <w:spacing w:val="-3"/>
                <w:sz w:val="24"/>
                <w:szCs w:val="24"/>
              </w:rPr>
              <w:t xml:space="preserve"> 1,399,676</w:t>
            </w:r>
          </w:p>
        </w:tc>
      </w:tr>
      <w:tr w:rsidR="008D0413" w:rsidRPr="0030391E" w:rsidTr="008D0413">
        <w:trPr>
          <w:trHeight w:val="833"/>
        </w:trPr>
        <w:tc>
          <w:tcPr>
            <w:tcW w:w="2502" w:type="dxa"/>
            <w:tcBorders>
              <w:top w:val="single" w:sz="4" w:space="0" w:color="auto"/>
              <w:left w:val="double" w:sz="4" w:space="0" w:color="auto"/>
              <w:bottom w:val="single" w:sz="4" w:space="0" w:color="auto"/>
            </w:tcBorders>
            <w:vAlign w:val="center"/>
          </w:tcPr>
          <w:p w:rsidR="008D0413" w:rsidRPr="00652CF1" w:rsidRDefault="008D0413" w:rsidP="003005AC">
            <w:pPr>
              <w:ind w:left="-27"/>
              <w:rPr>
                <w:color w:val="000000"/>
                <w:sz w:val="24"/>
                <w:szCs w:val="24"/>
              </w:rPr>
            </w:pPr>
            <w:r w:rsidRPr="00652CF1">
              <w:rPr>
                <w:color w:val="000000"/>
                <w:sz w:val="24"/>
                <w:szCs w:val="24"/>
              </w:rPr>
              <w:t>Yangon Justice Centre</w:t>
            </w:r>
            <w:r>
              <w:rPr>
                <w:color w:val="000000"/>
                <w:sz w:val="24"/>
                <w:szCs w:val="24"/>
              </w:rPr>
              <w:t xml:space="preserve"> (Year 2)</w:t>
            </w:r>
            <w:r>
              <w:rPr>
                <w:sz w:val="24"/>
                <w:szCs w:val="24"/>
                <w:lang w:val="en-US"/>
              </w:rPr>
              <w:t xml:space="preserve"> - Grant</w:t>
            </w:r>
          </w:p>
        </w:tc>
        <w:tc>
          <w:tcPr>
            <w:tcW w:w="2502" w:type="dxa"/>
            <w:tcBorders>
              <w:top w:val="single" w:sz="4" w:space="0" w:color="auto"/>
              <w:bottom w:val="single" w:sz="4" w:space="0" w:color="auto"/>
            </w:tcBorders>
            <w:vAlign w:val="center"/>
          </w:tcPr>
          <w:p w:rsidR="008D0413" w:rsidRPr="00652CF1" w:rsidRDefault="008D0413" w:rsidP="003005AC">
            <w:pPr>
              <w:ind w:left="-27"/>
              <w:rPr>
                <w:color w:val="000000"/>
                <w:sz w:val="24"/>
                <w:szCs w:val="24"/>
              </w:rPr>
            </w:pPr>
            <w:r w:rsidRPr="00652CF1">
              <w:rPr>
                <w:color w:val="000000"/>
                <w:sz w:val="24"/>
                <w:szCs w:val="24"/>
              </w:rPr>
              <w:t>Implementation of Justice Centre services in Yangon Region</w:t>
            </w:r>
          </w:p>
        </w:tc>
        <w:tc>
          <w:tcPr>
            <w:tcW w:w="2500" w:type="dxa"/>
            <w:tcBorders>
              <w:top w:val="single" w:sz="4" w:space="0" w:color="auto"/>
              <w:bottom w:val="single" w:sz="4" w:space="0" w:color="auto"/>
            </w:tcBorders>
            <w:vAlign w:val="center"/>
          </w:tcPr>
          <w:p w:rsidR="008D0413" w:rsidRPr="00652CF1" w:rsidRDefault="008D0413" w:rsidP="003005AC">
            <w:pPr>
              <w:ind w:left="-27"/>
              <w:rPr>
                <w:color w:val="000000"/>
                <w:sz w:val="24"/>
                <w:szCs w:val="24"/>
              </w:rPr>
            </w:pPr>
            <w:r w:rsidRPr="00652CF1">
              <w:rPr>
                <w:color w:val="000000"/>
                <w:sz w:val="24"/>
                <w:szCs w:val="24"/>
              </w:rPr>
              <w:t>U Kyaw Myint Law Firm, Yangon. Myanmar</w:t>
            </w:r>
          </w:p>
        </w:tc>
        <w:tc>
          <w:tcPr>
            <w:tcW w:w="2500" w:type="dxa"/>
            <w:tcBorders>
              <w:top w:val="single" w:sz="4" w:space="0" w:color="auto"/>
              <w:bottom w:val="single" w:sz="4" w:space="0" w:color="auto"/>
              <w:right w:val="double" w:sz="4" w:space="0" w:color="auto"/>
            </w:tcBorders>
            <w:vAlign w:val="center"/>
          </w:tcPr>
          <w:p w:rsidR="008D0413" w:rsidRDefault="008D0413" w:rsidP="003005AC">
            <w:pPr>
              <w:ind w:left="-27"/>
              <w:rPr>
                <w:color w:val="000000"/>
                <w:sz w:val="24"/>
                <w:szCs w:val="24"/>
              </w:rPr>
            </w:pPr>
            <w:r w:rsidRPr="00652CF1">
              <w:rPr>
                <w:color w:val="000000"/>
                <w:sz w:val="24"/>
                <w:szCs w:val="24"/>
              </w:rPr>
              <w:t>608,891,000 MMK</w:t>
            </w:r>
          </w:p>
          <w:p w:rsidR="00DC27B7" w:rsidRPr="00652CF1" w:rsidRDefault="00DC27B7" w:rsidP="003005AC">
            <w:pPr>
              <w:ind w:left="-27"/>
              <w:rPr>
                <w:color w:val="000000"/>
                <w:sz w:val="24"/>
                <w:szCs w:val="24"/>
              </w:rPr>
            </w:pPr>
            <w:r>
              <w:rPr>
                <w:color w:val="000000"/>
                <w:sz w:val="24"/>
                <w:szCs w:val="24"/>
              </w:rPr>
              <w:t>(</w:t>
            </w:r>
            <w:r w:rsidRPr="00DC27B7">
              <w:rPr>
                <w:color w:val="000000"/>
                <w:sz w:val="24"/>
                <w:szCs w:val="24"/>
              </w:rPr>
              <w:t>€410,267)</w:t>
            </w:r>
          </w:p>
        </w:tc>
      </w:tr>
      <w:tr w:rsidR="008D0413" w:rsidRPr="0030391E" w:rsidTr="008D0413">
        <w:trPr>
          <w:trHeight w:val="833"/>
        </w:trPr>
        <w:tc>
          <w:tcPr>
            <w:tcW w:w="2502" w:type="dxa"/>
            <w:tcBorders>
              <w:top w:val="single" w:sz="4" w:space="0" w:color="auto"/>
              <w:left w:val="double" w:sz="4" w:space="0" w:color="auto"/>
              <w:bottom w:val="single" w:sz="4" w:space="0" w:color="auto"/>
            </w:tcBorders>
            <w:vAlign w:val="center"/>
          </w:tcPr>
          <w:p w:rsidR="008D0413" w:rsidRPr="00652CF1" w:rsidRDefault="008D0413" w:rsidP="003005AC">
            <w:pPr>
              <w:ind w:left="-27"/>
              <w:rPr>
                <w:color w:val="000000"/>
                <w:sz w:val="24"/>
                <w:szCs w:val="24"/>
              </w:rPr>
            </w:pPr>
            <w:proofErr w:type="spellStart"/>
            <w:r w:rsidRPr="00652CF1">
              <w:rPr>
                <w:color w:val="000000"/>
                <w:sz w:val="24"/>
                <w:szCs w:val="24"/>
              </w:rPr>
              <w:t>Mawlamyaing</w:t>
            </w:r>
            <w:proofErr w:type="spellEnd"/>
            <w:r w:rsidRPr="00652CF1">
              <w:rPr>
                <w:color w:val="000000"/>
                <w:sz w:val="24"/>
                <w:szCs w:val="24"/>
              </w:rPr>
              <w:t xml:space="preserve"> Justice Centre</w:t>
            </w:r>
            <w:r>
              <w:rPr>
                <w:color w:val="000000"/>
                <w:sz w:val="24"/>
                <w:szCs w:val="24"/>
              </w:rPr>
              <w:t xml:space="preserve"> (Year 2)</w:t>
            </w:r>
            <w:r>
              <w:rPr>
                <w:sz w:val="24"/>
                <w:szCs w:val="24"/>
                <w:lang w:val="en-US"/>
              </w:rPr>
              <w:t xml:space="preserve"> - Grant</w:t>
            </w:r>
          </w:p>
        </w:tc>
        <w:tc>
          <w:tcPr>
            <w:tcW w:w="2502" w:type="dxa"/>
            <w:tcBorders>
              <w:top w:val="single" w:sz="4" w:space="0" w:color="auto"/>
              <w:bottom w:val="single" w:sz="4" w:space="0" w:color="auto"/>
            </w:tcBorders>
            <w:vAlign w:val="center"/>
          </w:tcPr>
          <w:p w:rsidR="008D0413" w:rsidRPr="00652CF1" w:rsidRDefault="008D0413" w:rsidP="003005AC">
            <w:pPr>
              <w:ind w:left="-27"/>
              <w:rPr>
                <w:color w:val="000000"/>
                <w:sz w:val="24"/>
                <w:szCs w:val="24"/>
              </w:rPr>
            </w:pPr>
            <w:r w:rsidRPr="00652CF1">
              <w:rPr>
                <w:color w:val="000000"/>
                <w:sz w:val="24"/>
                <w:szCs w:val="24"/>
              </w:rPr>
              <w:t>Implementation of Justice Centre services in Mon State</w:t>
            </w:r>
          </w:p>
        </w:tc>
        <w:tc>
          <w:tcPr>
            <w:tcW w:w="2500" w:type="dxa"/>
            <w:tcBorders>
              <w:top w:val="single" w:sz="4" w:space="0" w:color="auto"/>
              <w:bottom w:val="single" w:sz="4" w:space="0" w:color="auto"/>
            </w:tcBorders>
            <w:vAlign w:val="center"/>
          </w:tcPr>
          <w:p w:rsidR="008D0413" w:rsidRPr="00652CF1" w:rsidRDefault="008D0413" w:rsidP="003005AC">
            <w:pPr>
              <w:ind w:left="-27"/>
              <w:rPr>
                <w:color w:val="000000"/>
                <w:sz w:val="24"/>
                <w:szCs w:val="24"/>
              </w:rPr>
            </w:pPr>
            <w:proofErr w:type="spellStart"/>
            <w:r w:rsidRPr="00652CF1">
              <w:rPr>
                <w:color w:val="000000"/>
                <w:sz w:val="24"/>
                <w:szCs w:val="24"/>
              </w:rPr>
              <w:t>Mawlamyaing</w:t>
            </w:r>
            <w:proofErr w:type="spellEnd"/>
            <w:r w:rsidRPr="00652CF1">
              <w:rPr>
                <w:color w:val="000000"/>
                <w:sz w:val="24"/>
                <w:szCs w:val="24"/>
              </w:rPr>
              <w:t xml:space="preserve"> Justice Centre, </w:t>
            </w:r>
            <w:proofErr w:type="spellStart"/>
            <w:r w:rsidRPr="00652CF1">
              <w:rPr>
                <w:color w:val="000000"/>
                <w:sz w:val="24"/>
                <w:szCs w:val="24"/>
              </w:rPr>
              <w:t>Mawlamyaing</w:t>
            </w:r>
            <w:proofErr w:type="spellEnd"/>
            <w:r w:rsidRPr="00652CF1">
              <w:rPr>
                <w:color w:val="000000"/>
                <w:sz w:val="24"/>
                <w:szCs w:val="24"/>
              </w:rPr>
              <w:t>, Myanmar</w:t>
            </w:r>
          </w:p>
        </w:tc>
        <w:tc>
          <w:tcPr>
            <w:tcW w:w="2500" w:type="dxa"/>
            <w:tcBorders>
              <w:top w:val="single" w:sz="4" w:space="0" w:color="auto"/>
              <w:bottom w:val="single" w:sz="4" w:space="0" w:color="auto"/>
              <w:right w:val="double" w:sz="4" w:space="0" w:color="auto"/>
            </w:tcBorders>
            <w:vAlign w:val="center"/>
          </w:tcPr>
          <w:p w:rsidR="008D0413" w:rsidRDefault="008D0413" w:rsidP="003005AC">
            <w:pPr>
              <w:ind w:left="-27"/>
              <w:rPr>
                <w:color w:val="000000"/>
                <w:sz w:val="24"/>
                <w:szCs w:val="24"/>
              </w:rPr>
            </w:pPr>
            <w:r w:rsidRPr="00652CF1">
              <w:rPr>
                <w:color w:val="000000"/>
                <w:sz w:val="24"/>
                <w:szCs w:val="24"/>
              </w:rPr>
              <w:t>245,471,000 MMK</w:t>
            </w:r>
          </w:p>
          <w:p w:rsidR="008D0413" w:rsidRPr="00652CF1" w:rsidRDefault="008D0413" w:rsidP="003005AC">
            <w:pPr>
              <w:ind w:left="-27"/>
              <w:rPr>
                <w:color w:val="000000"/>
                <w:sz w:val="24"/>
                <w:szCs w:val="24"/>
              </w:rPr>
            </w:pPr>
            <w:r w:rsidRPr="00147034">
              <w:rPr>
                <w:color w:val="000000"/>
                <w:sz w:val="24"/>
                <w:szCs w:val="24"/>
              </w:rPr>
              <w:t>(€165,397)</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Political Economy Analysis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Political Economy Analysis Research</w:t>
            </w:r>
          </w:p>
        </w:tc>
        <w:tc>
          <w:tcPr>
            <w:tcW w:w="2500"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Independent Consultant, Thailand</w:t>
            </w:r>
            <w:r w:rsidRPr="008D0413">
              <w:rPr>
                <w:color w:val="000000"/>
                <w:sz w:val="24"/>
                <w:szCs w:val="24"/>
              </w:rPr>
              <w:tab/>
            </w:r>
          </w:p>
          <w:p w:rsidR="008D0413" w:rsidRPr="008D0413" w:rsidRDefault="008D0413" w:rsidP="008D0413">
            <w:pPr>
              <w:ind w:left="-27"/>
              <w:rPr>
                <w:color w:val="000000"/>
                <w:sz w:val="24"/>
                <w:szCs w:val="24"/>
              </w:rPr>
            </w:pP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€ 80,000</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Communications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Development of initial Communications plan and brand design</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Independent consultant, UK</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€ 32,085</w:t>
            </w:r>
          </w:p>
        </w:tc>
      </w:tr>
      <w:tr w:rsidR="008D0413" w:rsidRPr="008D0413" w:rsidTr="00CA356B">
        <w:trPr>
          <w:trHeight w:val="1673"/>
        </w:trPr>
        <w:tc>
          <w:tcPr>
            <w:tcW w:w="2502" w:type="dxa"/>
            <w:tcBorders>
              <w:top w:val="single" w:sz="4" w:space="0" w:color="auto"/>
              <w:left w:val="doub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Access to justice and Human rights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Access to Justice research and design consultancy</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p>
          <w:p w:rsidR="008D0413" w:rsidRPr="008D0413" w:rsidRDefault="008D0413" w:rsidP="003005AC">
            <w:pPr>
              <w:ind w:left="-27"/>
              <w:rPr>
                <w:color w:val="000000"/>
                <w:sz w:val="24"/>
                <w:szCs w:val="24"/>
              </w:rPr>
            </w:pPr>
            <w:r w:rsidRPr="008D0413">
              <w:rPr>
                <w:color w:val="000000"/>
                <w:sz w:val="24"/>
                <w:szCs w:val="24"/>
              </w:rPr>
              <w:t>Danish Institute for Human Rights, Denmark</w:t>
            </w:r>
          </w:p>
          <w:p w:rsidR="008D0413" w:rsidRPr="008D0413" w:rsidRDefault="008D0413" w:rsidP="003005AC">
            <w:pPr>
              <w:ind w:left="-27"/>
              <w:rPr>
                <w:color w:val="000000"/>
                <w:sz w:val="24"/>
                <w:szCs w:val="24"/>
              </w:rPr>
            </w:pPr>
          </w:p>
          <w:p w:rsidR="008D0413" w:rsidRPr="008D0413" w:rsidRDefault="008D0413" w:rsidP="003005AC">
            <w:pPr>
              <w:ind w:left="-27"/>
              <w:rPr>
                <w:color w:val="000000"/>
                <w:sz w:val="24"/>
                <w:szCs w:val="24"/>
              </w:rPr>
            </w:pPr>
          </w:p>
          <w:p w:rsidR="008D0413" w:rsidRPr="008D0413" w:rsidRDefault="008D0413" w:rsidP="003005AC">
            <w:pPr>
              <w:ind w:left="-27"/>
              <w:rPr>
                <w:color w:val="000000"/>
                <w:sz w:val="24"/>
                <w:szCs w:val="24"/>
              </w:rPr>
            </w:pP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€ 226,525</w:t>
            </w:r>
          </w:p>
        </w:tc>
      </w:tr>
      <w:tr w:rsidR="008D0413" w:rsidRPr="008D0413" w:rsidTr="00CA356B">
        <w:trPr>
          <w:trHeight w:val="1250"/>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Paralegal research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Paralegal research and intervention design</w:t>
            </w:r>
          </w:p>
        </w:tc>
        <w:tc>
          <w:tcPr>
            <w:tcW w:w="2500"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p>
          <w:p w:rsidR="008D0413" w:rsidRPr="008D0413" w:rsidRDefault="008D0413" w:rsidP="003005AC">
            <w:pPr>
              <w:ind w:left="-27"/>
              <w:rPr>
                <w:color w:val="000000"/>
                <w:sz w:val="24"/>
                <w:szCs w:val="24"/>
              </w:rPr>
            </w:pPr>
            <w:r w:rsidRPr="008D0413">
              <w:rPr>
                <w:color w:val="000000"/>
                <w:sz w:val="24"/>
                <w:szCs w:val="24"/>
              </w:rPr>
              <w:t>Danish Institute for Human Rights, Denmark</w:t>
            </w:r>
          </w:p>
          <w:p w:rsidR="008D0413" w:rsidRPr="008D0413" w:rsidRDefault="008D0413" w:rsidP="008D0413">
            <w:pPr>
              <w:ind w:left="-27"/>
              <w:rPr>
                <w:color w:val="000000"/>
                <w:sz w:val="24"/>
                <w:szCs w:val="24"/>
              </w:rPr>
            </w:pP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€ 17,075</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Access to Justice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Review of community dispute resolution mechanisms</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Governance and Justice Group_ GJG, Portugal</w:t>
            </w:r>
          </w:p>
          <w:p w:rsidR="008D0413" w:rsidRPr="008D0413" w:rsidRDefault="008D0413" w:rsidP="003005AC">
            <w:pPr>
              <w:ind w:left="-27"/>
              <w:rPr>
                <w:color w:val="000000"/>
                <w:sz w:val="24"/>
                <w:szCs w:val="24"/>
              </w:rPr>
            </w:pP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€ 30,000</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Rule of Law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Rule of law institutions assessment</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xml:space="preserve">Independent Consultant, Italy </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€ 28,000</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Legal aid provider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Justice Centre assessment</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xml:space="preserve">Independent Consultant, Australia </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€ 22,500</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lastRenderedPageBreak/>
              <w:t>Informal justice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Research on community dispute resolution</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Overseas Development Institute (ODI), UK</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USD 130,542</w:t>
            </w:r>
          </w:p>
          <w:p w:rsidR="008D0413" w:rsidRPr="008D0413" w:rsidRDefault="008D0413" w:rsidP="008D0413">
            <w:pPr>
              <w:ind w:left="-27"/>
              <w:rPr>
                <w:color w:val="000000"/>
                <w:sz w:val="24"/>
                <w:szCs w:val="24"/>
              </w:rPr>
            </w:pPr>
            <w:r w:rsidRPr="008D0413">
              <w:rPr>
                <w:color w:val="000000"/>
                <w:sz w:val="24"/>
                <w:szCs w:val="24"/>
              </w:rPr>
              <w:t>(€ 117,227)</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Communications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Design support for the MyJustice Communications Strategy</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xml:space="preserve">Love Frankie Ltd, Thailand </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xml:space="preserve">USD 17,900 </w:t>
            </w:r>
          </w:p>
          <w:p w:rsidR="008D0413" w:rsidRPr="008D0413" w:rsidRDefault="008D0413" w:rsidP="003005AC">
            <w:pPr>
              <w:ind w:left="-27"/>
              <w:rPr>
                <w:color w:val="000000"/>
                <w:sz w:val="24"/>
                <w:szCs w:val="24"/>
              </w:rPr>
            </w:pPr>
            <w:r w:rsidRPr="008D0413">
              <w:rPr>
                <w:color w:val="000000"/>
                <w:sz w:val="24"/>
                <w:szCs w:val="24"/>
              </w:rPr>
              <w:t>(€ 16,146)</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Communications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Mentoring support to MyJustice Communications Manager'</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Love Frankie Ltd, Thailand</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xml:space="preserve">USD 21,000 </w:t>
            </w:r>
            <w:r w:rsidRPr="008D0413">
              <w:rPr>
                <w:color w:val="000000"/>
                <w:sz w:val="24"/>
                <w:szCs w:val="24"/>
              </w:rPr>
              <w:br/>
              <w:t>(€ 19,278)</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Monitoring, Evaluation and Learning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Learning and Evaluation partner</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Integrity research and consultancy, UK</w:t>
            </w:r>
          </w:p>
          <w:p w:rsidR="008D0413" w:rsidRPr="008D0413" w:rsidRDefault="008D0413" w:rsidP="003005AC">
            <w:pPr>
              <w:ind w:left="-27"/>
              <w:rPr>
                <w:color w:val="000000"/>
                <w:sz w:val="24"/>
                <w:szCs w:val="24"/>
              </w:rPr>
            </w:pPr>
          </w:p>
          <w:p w:rsidR="008D0413" w:rsidRPr="008D0413" w:rsidRDefault="008D0413" w:rsidP="003005AC">
            <w:pPr>
              <w:ind w:left="-27"/>
              <w:rPr>
                <w:color w:val="000000"/>
                <w:sz w:val="24"/>
                <w:szCs w:val="24"/>
              </w:rPr>
            </w:pPr>
          </w:p>
        </w:tc>
        <w:tc>
          <w:tcPr>
            <w:tcW w:w="2500" w:type="dxa"/>
            <w:tcBorders>
              <w:top w:val="single" w:sz="4" w:space="0" w:color="auto"/>
              <w:bottom w:val="single" w:sz="4" w:space="0" w:color="auto"/>
              <w:right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€ 454,872</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Script Writers</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Consultancy for mass media campaign</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Yangon Film Services, Myanmar</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xml:space="preserve">USD 52,339.05 </w:t>
            </w:r>
          </w:p>
          <w:p w:rsidR="008D0413" w:rsidRPr="008D0413" w:rsidRDefault="008D0413" w:rsidP="003005AC">
            <w:pPr>
              <w:ind w:left="-27"/>
              <w:rPr>
                <w:color w:val="000000"/>
                <w:sz w:val="24"/>
                <w:szCs w:val="24"/>
              </w:rPr>
            </w:pPr>
            <w:r w:rsidRPr="008D0413">
              <w:rPr>
                <w:color w:val="000000"/>
                <w:sz w:val="24"/>
                <w:szCs w:val="24"/>
              </w:rPr>
              <w:t>(€ 49,774)</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Edutainment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Edutainment consultant for mass media campaign</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Independent Consultant, Myanmar</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€ 17,625</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Volunteer lawyers</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 xml:space="preserve">Volunteers for Capacity building of Justice </w:t>
            </w:r>
            <w:proofErr w:type="spellStart"/>
            <w:r w:rsidRPr="008D0413">
              <w:rPr>
                <w:color w:val="000000"/>
                <w:sz w:val="24"/>
                <w:szCs w:val="24"/>
              </w:rPr>
              <w:t>Centers</w:t>
            </w:r>
            <w:proofErr w:type="spellEnd"/>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Voluntary Service Overseas (VSO), UK</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 xml:space="preserve">USD 78,070 </w:t>
            </w:r>
          </w:p>
          <w:p w:rsidR="008D0413" w:rsidRPr="008D0413" w:rsidRDefault="008D0413" w:rsidP="008D0413">
            <w:pPr>
              <w:ind w:left="-27"/>
              <w:rPr>
                <w:color w:val="000000"/>
                <w:sz w:val="24"/>
                <w:szCs w:val="24"/>
              </w:rPr>
            </w:pPr>
            <w:r w:rsidRPr="008D0413">
              <w:rPr>
                <w:color w:val="000000"/>
                <w:sz w:val="24"/>
                <w:szCs w:val="24"/>
              </w:rPr>
              <w:t>(€ 66,438)</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Research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Knowledge, Attitudes and Practices and Baseline surveys</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TNS Myanmar Co Ltd, Myanmar</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 xml:space="preserve">USD 239,096     </w:t>
            </w:r>
          </w:p>
          <w:p w:rsidR="008D0413" w:rsidRPr="008D0413" w:rsidRDefault="008D0413" w:rsidP="008D0413">
            <w:pPr>
              <w:ind w:left="-27"/>
              <w:rPr>
                <w:color w:val="000000"/>
                <w:sz w:val="24"/>
                <w:szCs w:val="24"/>
              </w:rPr>
            </w:pPr>
            <w:r w:rsidRPr="008D0413">
              <w:rPr>
                <w:color w:val="000000"/>
                <w:sz w:val="24"/>
                <w:szCs w:val="24"/>
              </w:rPr>
              <w:t xml:space="preserve">(€ 227,380)                                                                                                                                                                                     </w:t>
            </w:r>
          </w:p>
        </w:tc>
      </w:tr>
      <w:tr w:rsidR="008D0413" w:rsidRPr="008D0413" w:rsidTr="008D0413">
        <w:trPr>
          <w:trHeight w:val="833"/>
        </w:trPr>
        <w:tc>
          <w:tcPr>
            <w:tcW w:w="2502" w:type="dxa"/>
            <w:tcBorders>
              <w:top w:val="single" w:sz="4" w:space="0" w:color="auto"/>
              <w:left w:val="doub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Capacity Development Specialist</w:t>
            </w:r>
            <w:r w:rsidR="00B65A49">
              <w:rPr>
                <w:color w:val="000000"/>
                <w:sz w:val="24"/>
                <w:szCs w:val="24"/>
              </w:rPr>
              <w:t xml:space="preserve"> – Service contract</w:t>
            </w:r>
          </w:p>
        </w:tc>
        <w:tc>
          <w:tcPr>
            <w:tcW w:w="2502" w:type="dxa"/>
            <w:tcBorders>
              <w:top w:val="single" w:sz="4" w:space="0" w:color="auto"/>
              <w:bottom w:val="sing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Civil Society Organisation Capacity Development partner</w:t>
            </w:r>
          </w:p>
        </w:tc>
        <w:tc>
          <w:tcPr>
            <w:tcW w:w="2500" w:type="dxa"/>
            <w:tcBorders>
              <w:top w:val="single" w:sz="4" w:space="0" w:color="auto"/>
              <w:bottom w:val="sing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Independent consultant, Indonesia</w:t>
            </w:r>
          </w:p>
        </w:tc>
        <w:tc>
          <w:tcPr>
            <w:tcW w:w="2500" w:type="dxa"/>
            <w:tcBorders>
              <w:top w:val="single" w:sz="4" w:space="0" w:color="auto"/>
              <w:bottom w:val="single" w:sz="4" w:space="0" w:color="auto"/>
              <w:right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USD 38,500</w:t>
            </w:r>
          </w:p>
          <w:p w:rsidR="008D0413" w:rsidRPr="008D0413" w:rsidRDefault="008D0413" w:rsidP="008D0413">
            <w:pPr>
              <w:ind w:left="-27"/>
              <w:rPr>
                <w:color w:val="000000"/>
                <w:sz w:val="24"/>
                <w:szCs w:val="24"/>
              </w:rPr>
            </w:pPr>
            <w:r w:rsidRPr="008D0413">
              <w:rPr>
                <w:color w:val="000000"/>
                <w:sz w:val="24"/>
                <w:szCs w:val="24"/>
              </w:rPr>
              <w:t>(€ 36,344)</w:t>
            </w:r>
          </w:p>
        </w:tc>
      </w:tr>
      <w:tr w:rsidR="008D0413" w:rsidRPr="008D0413" w:rsidTr="00CA356B">
        <w:trPr>
          <w:trHeight w:val="728"/>
        </w:trPr>
        <w:tc>
          <w:tcPr>
            <w:tcW w:w="2502" w:type="dxa"/>
            <w:tcBorders>
              <w:top w:val="single" w:sz="4" w:space="0" w:color="auto"/>
              <w:left w:val="double" w:sz="4" w:space="0" w:color="auto"/>
              <w:bottom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Data analyst and report writer</w:t>
            </w:r>
            <w:r w:rsidR="00B65A49">
              <w:rPr>
                <w:color w:val="000000"/>
                <w:sz w:val="24"/>
                <w:szCs w:val="24"/>
              </w:rPr>
              <w:t xml:space="preserve"> – Service contract</w:t>
            </w:r>
          </w:p>
        </w:tc>
        <w:tc>
          <w:tcPr>
            <w:tcW w:w="2502" w:type="dxa"/>
            <w:tcBorders>
              <w:top w:val="single" w:sz="4" w:space="0" w:color="auto"/>
              <w:bottom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Knowledge, Attitudes and Practices survey data analysis</w:t>
            </w:r>
          </w:p>
        </w:tc>
        <w:tc>
          <w:tcPr>
            <w:tcW w:w="2500" w:type="dxa"/>
            <w:tcBorders>
              <w:top w:val="single" w:sz="4" w:space="0" w:color="auto"/>
              <w:bottom w:val="double" w:sz="4" w:space="0" w:color="auto"/>
            </w:tcBorders>
            <w:vAlign w:val="center"/>
          </w:tcPr>
          <w:p w:rsidR="008D0413" w:rsidRPr="008D0413" w:rsidRDefault="008D0413" w:rsidP="003005AC">
            <w:pPr>
              <w:ind w:left="-27"/>
              <w:rPr>
                <w:color w:val="000000"/>
                <w:sz w:val="24"/>
                <w:szCs w:val="24"/>
              </w:rPr>
            </w:pPr>
            <w:r w:rsidRPr="008D0413">
              <w:rPr>
                <w:color w:val="000000"/>
                <w:sz w:val="24"/>
                <w:szCs w:val="24"/>
              </w:rPr>
              <w:t xml:space="preserve">Independent consultant, Indonesia </w:t>
            </w:r>
          </w:p>
          <w:p w:rsidR="008D0413" w:rsidRPr="008D0413" w:rsidRDefault="008D0413" w:rsidP="003005AC">
            <w:pPr>
              <w:ind w:left="-27"/>
              <w:rPr>
                <w:color w:val="000000"/>
                <w:sz w:val="24"/>
                <w:szCs w:val="24"/>
              </w:rPr>
            </w:pPr>
          </w:p>
        </w:tc>
        <w:tc>
          <w:tcPr>
            <w:tcW w:w="2500" w:type="dxa"/>
            <w:tcBorders>
              <w:top w:val="single" w:sz="4" w:space="0" w:color="auto"/>
              <w:bottom w:val="double" w:sz="4" w:space="0" w:color="auto"/>
              <w:right w:val="double" w:sz="4" w:space="0" w:color="auto"/>
            </w:tcBorders>
            <w:vAlign w:val="center"/>
          </w:tcPr>
          <w:p w:rsidR="008D0413" w:rsidRPr="008D0413" w:rsidRDefault="008D0413" w:rsidP="008D0413">
            <w:pPr>
              <w:ind w:left="-27"/>
              <w:rPr>
                <w:color w:val="000000"/>
                <w:sz w:val="24"/>
                <w:szCs w:val="24"/>
              </w:rPr>
            </w:pPr>
            <w:r w:rsidRPr="008D0413">
              <w:rPr>
                <w:color w:val="000000"/>
                <w:sz w:val="24"/>
                <w:szCs w:val="24"/>
              </w:rPr>
              <w:t>USD 38,500</w:t>
            </w:r>
          </w:p>
          <w:p w:rsidR="008D0413" w:rsidRPr="008D0413" w:rsidRDefault="008D0413" w:rsidP="008D0413">
            <w:pPr>
              <w:ind w:left="-27"/>
              <w:rPr>
                <w:color w:val="000000"/>
                <w:sz w:val="24"/>
                <w:szCs w:val="24"/>
              </w:rPr>
            </w:pPr>
            <w:r w:rsidRPr="008D0413">
              <w:rPr>
                <w:color w:val="000000"/>
                <w:sz w:val="24"/>
                <w:szCs w:val="24"/>
              </w:rPr>
              <w:t>(€ 31,993)</w:t>
            </w:r>
          </w:p>
        </w:tc>
      </w:tr>
    </w:tbl>
    <w:p w:rsidR="000E729C" w:rsidRDefault="000E729C" w:rsidP="00CA356B"/>
    <w:sectPr w:rsidR="000E729C" w:rsidSect="00CA356B">
      <w:pgSz w:w="11906" w:h="16838"/>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0F"/>
    <w:rsid w:val="00000702"/>
    <w:rsid w:val="0002710A"/>
    <w:rsid w:val="00035156"/>
    <w:rsid w:val="00036128"/>
    <w:rsid w:val="00044944"/>
    <w:rsid w:val="00061E03"/>
    <w:rsid w:val="000631DE"/>
    <w:rsid w:val="0009508E"/>
    <w:rsid w:val="000C23F3"/>
    <w:rsid w:val="000D15C4"/>
    <w:rsid w:val="000E729C"/>
    <w:rsid w:val="000F2E3C"/>
    <w:rsid w:val="001129E5"/>
    <w:rsid w:val="00154FA9"/>
    <w:rsid w:val="00165E14"/>
    <w:rsid w:val="001A5A89"/>
    <w:rsid w:val="001A5E2D"/>
    <w:rsid w:val="001B1859"/>
    <w:rsid w:val="001B4E6A"/>
    <w:rsid w:val="001C50E8"/>
    <w:rsid w:val="001D7E17"/>
    <w:rsid w:val="001F667E"/>
    <w:rsid w:val="001F6A5A"/>
    <w:rsid w:val="002071F4"/>
    <w:rsid w:val="00212AE5"/>
    <w:rsid w:val="00222A8D"/>
    <w:rsid w:val="00223D08"/>
    <w:rsid w:val="0023058C"/>
    <w:rsid w:val="00231AA0"/>
    <w:rsid w:val="002377FE"/>
    <w:rsid w:val="00254588"/>
    <w:rsid w:val="00283CEF"/>
    <w:rsid w:val="002C4D99"/>
    <w:rsid w:val="002C5C9D"/>
    <w:rsid w:val="002D12D5"/>
    <w:rsid w:val="002E431E"/>
    <w:rsid w:val="002E6166"/>
    <w:rsid w:val="00301CCF"/>
    <w:rsid w:val="003171BD"/>
    <w:rsid w:val="00321FCC"/>
    <w:rsid w:val="00330305"/>
    <w:rsid w:val="003358E7"/>
    <w:rsid w:val="00362A81"/>
    <w:rsid w:val="003659A1"/>
    <w:rsid w:val="00370DEA"/>
    <w:rsid w:val="00373384"/>
    <w:rsid w:val="003A0251"/>
    <w:rsid w:val="003A0F17"/>
    <w:rsid w:val="003B6DAB"/>
    <w:rsid w:val="003E1A02"/>
    <w:rsid w:val="003F0C34"/>
    <w:rsid w:val="003F11A7"/>
    <w:rsid w:val="003F570D"/>
    <w:rsid w:val="0042000E"/>
    <w:rsid w:val="004255B4"/>
    <w:rsid w:val="00426A57"/>
    <w:rsid w:val="00432A30"/>
    <w:rsid w:val="004368BA"/>
    <w:rsid w:val="00466806"/>
    <w:rsid w:val="00467130"/>
    <w:rsid w:val="0047758A"/>
    <w:rsid w:val="004928D8"/>
    <w:rsid w:val="0049579E"/>
    <w:rsid w:val="004E2865"/>
    <w:rsid w:val="004E6E10"/>
    <w:rsid w:val="004F457A"/>
    <w:rsid w:val="004F5569"/>
    <w:rsid w:val="0050782D"/>
    <w:rsid w:val="00524747"/>
    <w:rsid w:val="005425C5"/>
    <w:rsid w:val="00560111"/>
    <w:rsid w:val="005727E7"/>
    <w:rsid w:val="005811F8"/>
    <w:rsid w:val="00595544"/>
    <w:rsid w:val="005C181F"/>
    <w:rsid w:val="005D1ADE"/>
    <w:rsid w:val="005D5546"/>
    <w:rsid w:val="005F321B"/>
    <w:rsid w:val="005F5A9E"/>
    <w:rsid w:val="006001DC"/>
    <w:rsid w:val="00611A5F"/>
    <w:rsid w:val="00613A50"/>
    <w:rsid w:val="0061591A"/>
    <w:rsid w:val="006250DD"/>
    <w:rsid w:val="006742D4"/>
    <w:rsid w:val="00675A9B"/>
    <w:rsid w:val="006768E7"/>
    <w:rsid w:val="00691B71"/>
    <w:rsid w:val="006A1EED"/>
    <w:rsid w:val="006B0857"/>
    <w:rsid w:val="006B76DB"/>
    <w:rsid w:val="006C1634"/>
    <w:rsid w:val="006C2272"/>
    <w:rsid w:val="006C7ABF"/>
    <w:rsid w:val="006E4EB7"/>
    <w:rsid w:val="006F4993"/>
    <w:rsid w:val="007130B2"/>
    <w:rsid w:val="007226F4"/>
    <w:rsid w:val="00750039"/>
    <w:rsid w:val="00751901"/>
    <w:rsid w:val="00761648"/>
    <w:rsid w:val="007728F4"/>
    <w:rsid w:val="00773773"/>
    <w:rsid w:val="00777BA7"/>
    <w:rsid w:val="00783C7B"/>
    <w:rsid w:val="007929D1"/>
    <w:rsid w:val="00794D11"/>
    <w:rsid w:val="007B2A41"/>
    <w:rsid w:val="007D04F7"/>
    <w:rsid w:val="007E15FA"/>
    <w:rsid w:val="00801066"/>
    <w:rsid w:val="00825D68"/>
    <w:rsid w:val="008268E7"/>
    <w:rsid w:val="0083122E"/>
    <w:rsid w:val="0085347A"/>
    <w:rsid w:val="00855CB6"/>
    <w:rsid w:val="008635D7"/>
    <w:rsid w:val="00865445"/>
    <w:rsid w:val="0087553E"/>
    <w:rsid w:val="008778A0"/>
    <w:rsid w:val="00887F8C"/>
    <w:rsid w:val="008911A1"/>
    <w:rsid w:val="008A6D0F"/>
    <w:rsid w:val="008C662D"/>
    <w:rsid w:val="008D0413"/>
    <w:rsid w:val="008D1928"/>
    <w:rsid w:val="009130EC"/>
    <w:rsid w:val="009151BF"/>
    <w:rsid w:val="0092214A"/>
    <w:rsid w:val="0095550A"/>
    <w:rsid w:val="00961DEE"/>
    <w:rsid w:val="00971CC6"/>
    <w:rsid w:val="00981A59"/>
    <w:rsid w:val="00985CCF"/>
    <w:rsid w:val="009A11C4"/>
    <w:rsid w:val="009B339B"/>
    <w:rsid w:val="009B5596"/>
    <w:rsid w:val="009B69B2"/>
    <w:rsid w:val="009E0039"/>
    <w:rsid w:val="009F2EA0"/>
    <w:rsid w:val="00A01B87"/>
    <w:rsid w:val="00A154E4"/>
    <w:rsid w:val="00A417C5"/>
    <w:rsid w:val="00A56DA3"/>
    <w:rsid w:val="00A575B3"/>
    <w:rsid w:val="00A7060E"/>
    <w:rsid w:val="00A7600A"/>
    <w:rsid w:val="00A76B98"/>
    <w:rsid w:val="00A83D6A"/>
    <w:rsid w:val="00AC30FB"/>
    <w:rsid w:val="00AD3372"/>
    <w:rsid w:val="00AD5D7D"/>
    <w:rsid w:val="00AE341D"/>
    <w:rsid w:val="00AE64F8"/>
    <w:rsid w:val="00AF1C82"/>
    <w:rsid w:val="00AF2C80"/>
    <w:rsid w:val="00AF30AA"/>
    <w:rsid w:val="00B01106"/>
    <w:rsid w:val="00B03738"/>
    <w:rsid w:val="00B33698"/>
    <w:rsid w:val="00B533A0"/>
    <w:rsid w:val="00B578BE"/>
    <w:rsid w:val="00B65A49"/>
    <w:rsid w:val="00B91F93"/>
    <w:rsid w:val="00BA59DB"/>
    <w:rsid w:val="00BD48A8"/>
    <w:rsid w:val="00BD4A3F"/>
    <w:rsid w:val="00C04FE6"/>
    <w:rsid w:val="00C31896"/>
    <w:rsid w:val="00C3504A"/>
    <w:rsid w:val="00C36C8D"/>
    <w:rsid w:val="00C613D6"/>
    <w:rsid w:val="00CA356B"/>
    <w:rsid w:val="00CB78AB"/>
    <w:rsid w:val="00D02E1E"/>
    <w:rsid w:val="00D11AD9"/>
    <w:rsid w:val="00D2350F"/>
    <w:rsid w:val="00D370CF"/>
    <w:rsid w:val="00D529F7"/>
    <w:rsid w:val="00D57FE1"/>
    <w:rsid w:val="00D8710F"/>
    <w:rsid w:val="00DA04A8"/>
    <w:rsid w:val="00DA2684"/>
    <w:rsid w:val="00DB72AD"/>
    <w:rsid w:val="00DC27B7"/>
    <w:rsid w:val="00DC5EE0"/>
    <w:rsid w:val="00DD3A06"/>
    <w:rsid w:val="00DF76B9"/>
    <w:rsid w:val="00E05535"/>
    <w:rsid w:val="00E13404"/>
    <w:rsid w:val="00E341FA"/>
    <w:rsid w:val="00E37387"/>
    <w:rsid w:val="00E62ED0"/>
    <w:rsid w:val="00E72A61"/>
    <w:rsid w:val="00E87F84"/>
    <w:rsid w:val="00E91B29"/>
    <w:rsid w:val="00EA0722"/>
    <w:rsid w:val="00ED26FF"/>
    <w:rsid w:val="00ED2F59"/>
    <w:rsid w:val="00EE2409"/>
    <w:rsid w:val="00EE2860"/>
    <w:rsid w:val="00EF5EA9"/>
    <w:rsid w:val="00F15C38"/>
    <w:rsid w:val="00F206EE"/>
    <w:rsid w:val="00F424DC"/>
    <w:rsid w:val="00F42D5F"/>
    <w:rsid w:val="00F56F4C"/>
    <w:rsid w:val="00F67618"/>
    <w:rsid w:val="00FB5D0C"/>
    <w:rsid w:val="00FE4C41"/>
    <w:rsid w:val="00FF0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13"/>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413"/>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0413"/>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13"/>
    <w:pPr>
      <w:spacing w:after="0" w:line="240" w:lineRule="auto"/>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413"/>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0413"/>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Naing, Ei Thinzar Win (Myanmar)</dc:creator>
  <cp:lastModifiedBy>Wade, Katie (Education and Society)</cp:lastModifiedBy>
  <cp:revision>2</cp:revision>
  <dcterms:created xsi:type="dcterms:W3CDTF">2017-10-27T08:27:00Z</dcterms:created>
  <dcterms:modified xsi:type="dcterms:W3CDTF">2017-10-27T08:27:00Z</dcterms:modified>
</cp:coreProperties>
</file>