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EC" w:rsidRDefault="00943FEC">
      <w:bookmarkStart w:id="0" w:name="_GoBack"/>
      <w:bookmarkEnd w:id="0"/>
    </w:p>
    <w:p w:rsidR="00943FEC" w:rsidRDefault="00943FEC" w:rsidP="00943FEC">
      <w:pPr>
        <w:jc w:val="center"/>
        <w:rPr>
          <w:color w:val="auto"/>
          <w:sz w:val="32"/>
          <w:szCs w:val="32"/>
        </w:rPr>
      </w:pPr>
      <w:r w:rsidRPr="00943FEC">
        <w:rPr>
          <w:color w:val="auto"/>
          <w:sz w:val="32"/>
          <w:szCs w:val="32"/>
        </w:rPr>
        <w:t>Initial M&amp;E Framework</w:t>
      </w:r>
    </w:p>
    <w:p w:rsidR="00943FEC" w:rsidRDefault="00943FEC" w:rsidP="00943FEC">
      <w:pPr>
        <w:jc w:val="center"/>
        <w:rPr>
          <w:color w:val="auto"/>
          <w:sz w:val="32"/>
          <w:szCs w:val="32"/>
        </w:rPr>
      </w:pPr>
    </w:p>
    <w:tbl>
      <w:tblPr>
        <w:tblW w:w="11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3147"/>
        <w:gridCol w:w="2410"/>
        <w:gridCol w:w="1701"/>
        <w:gridCol w:w="1559"/>
        <w:gridCol w:w="2222"/>
      </w:tblGrid>
      <w:tr w:rsidR="006544D5" w:rsidRPr="004C7DB7" w:rsidTr="006544D5">
        <w:trPr>
          <w:tblHeader/>
          <w:jc w:val="center"/>
        </w:trPr>
        <w:tc>
          <w:tcPr>
            <w:tcW w:w="779" w:type="dxa"/>
            <w:tcBorders>
              <w:bottom w:val="single" w:sz="4" w:space="0" w:color="auto"/>
            </w:tcBorders>
            <w:shd w:val="clear" w:color="auto" w:fill="BFBFBF"/>
          </w:tcPr>
          <w:p w:rsidR="006544D5" w:rsidRPr="004C7DB7" w:rsidRDefault="006544D5" w:rsidP="00A77140">
            <w:pPr>
              <w:spacing w:before="0" w:line="280" w:lineRule="exact"/>
              <w:jc w:val="right"/>
              <w:rPr>
                <w:color w:val="auto"/>
                <w:sz w:val="18"/>
                <w:szCs w:val="24"/>
                <w:lang w:eastAsia="en-GB"/>
              </w:rPr>
            </w:pPr>
          </w:p>
        </w:tc>
        <w:tc>
          <w:tcPr>
            <w:tcW w:w="3147" w:type="dxa"/>
            <w:tcBorders>
              <w:bottom w:val="single" w:sz="4" w:space="0" w:color="auto"/>
            </w:tcBorders>
            <w:shd w:val="clear" w:color="auto" w:fill="BFBFBF"/>
          </w:tcPr>
          <w:p w:rsidR="006544D5" w:rsidRPr="004C7DB7" w:rsidRDefault="006544D5" w:rsidP="00A77140">
            <w:pPr>
              <w:spacing w:before="0" w:line="280" w:lineRule="exact"/>
              <w:rPr>
                <w:b/>
                <w:color w:val="auto"/>
                <w:sz w:val="18"/>
                <w:szCs w:val="24"/>
                <w:lang w:eastAsia="en-GB"/>
              </w:rPr>
            </w:pPr>
            <w:r w:rsidRPr="004C7DB7">
              <w:rPr>
                <w:b/>
                <w:color w:val="auto"/>
                <w:sz w:val="18"/>
                <w:szCs w:val="24"/>
                <w:lang w:eastAsia="en-GB"/>
              </w:rPr>
              <w:t xml:space="preserve"> Results chain</w:t>
            </w:r>
          </w:p>
        </w:tc>
        <w:tc>
          <w:tcPr>
            <w:tcW w:w="2410" w:type="dxa"/>
            <w:tcBorders>
              <w:bottom w:val="single" w:sz="4" w:space="0" w:color="auto"/>
            </w:tcBorders>
            <w:shd w:val="clear" w:color="auto" w:fill="BFBFBF"/>
          </w:tcPr>
          <w:p w:rsidR="006544D5" w:rsidRPr="004C7DB7" w:rsidRDefault="006544D5" w:rsidP="00A77140">
            <w:pPr>
              <w:spacing w:before="0" w:line="280" w:lineRule="exact"/>
              <w:jc w:val="center"/>
              <w:rPr>
                <w:b/>
                <w:color w:val="auto"/>
                <w:sz w:val="18"/>
                <w:szCs w:val="24"/>
                <w:lang w:eastAsia="en-GB"/>
              </w:rPr>
            </w:pPr>
            <w:r w:rsidRPr="004C7DB7">
              <w:rPr>
                <w:b/>
                <w:color w:val="auto"/>
                <w:sz w:val="18"/>
                <w:szCs w:val="24"/>
                <w:lang w:eastAsia="en-GB"/>
              </w:rPr>
              <w:t xml:space="preserve">Indicative Indicators </w:t>
            </w:r>
          </w:p>
        </w:tc>
        <w:tc>
          <w:tcPr>
            <w:tcW w:w="1701" w:type="dxa"/>
            <w:tcBorders>
              <w:bottom w:val="single" w:sz="4" w:space="0" w:color="auto"/>
            </w:tcBorders>
            <w:shd w:val="clear" w:color="auto" w:fill="BFBFBF"/>
          </w:tcPr>
          <w:p w:rsidR="006544D5" w:rsidRPr="004C7DB7" w:rsidRDefault="006544D5" w:rsidP="00A77140">
            <w:pPr>
              <w:spacing w:before="0" w:line="280" w:lineRule="exact"/>
              <w:jc w:val="center"/>
              <w:rPr>
                <w:b/>
                <w:color w:val="auto"/>
                <w:sz w:val="18"/>
                <w:szCs w:val="24"/>
                <w:lang w:eastAsia="en-GB"/>
              </w:rPr>
            </w:pPr>
            <w:r w:rsidRPr="004C7DB7">
              <w:rPr>
                <w:b/>
                <w:color w:val="auto"/>
                <w:sz w:val="18"/>
                <w:szCs w:val="24"/>
                <w:lang w:eastAsia="en-GB"/>
              </w:rPr>
              <w:t>Baseline</w:t>
            </w:r>
            <w:r>
              <w:rPr>
                <w:b/>
                <w:color w:val="auto"/>
                <w:sz w:val="18"/>
                <w:szCs w:val="24"/>
                <w:lang w:eastAsia="en-GB"/>
              </w:rPr>
              <w:t xml:space="preserve"> values</w:t>
            </w:r>
          </w:p>
          <w:p w:rsidR="006544D5" w:rsidRPr="004C7DB7" w:rsidRDefault="006544D5" w:rsidP="00A77140">
            <w:pPr>
              <w:spacing w:before="0" w:line="280" w:lineRule="exact"/>
              <w:jc w:val="center"/>
              <w:rPr>
                <w:b/>
                <w:color w:val="auto"/>
                <w:sz w:val="18"/>
                <w:szCs w:val="16"/>
                <w:lang w:eastAsia="en-GB"/>
              </w:rPr>
            </w:pPr>
          </w:p>
        </w:tc>
        <w:tc>
          <w:tcPr>
            <w:tcW w:w="1559" w:type="dxa"/>
            <w:tcBorders>
              <w:bottom w:val="single" w:sz="4" w:space="0" w:color="auto"/>
            </w:tcBorders>
            <w:shd w:val="clear" w:color="auto" w:fill="BFBFBF"/>
          </w:tcPr>
          <w:p w:rsidR="006544D5" w:rsidRPr="004C7DB7" w:rsidRDefault="006544D5" w:rsidP="00A77140">
            <w:pPr>
              <w:spacing w:before="0" w:line="280" w:lineRule="exact"/>
              <w:jc w:val="center"/>
              <w:rPr>
                <w:b/>
                <w:color w:val="auto"/>
                <w:sz w:val="18"/>
                <w:szCs w:val="24"/>
                <w:lang w:eastAsia="en-GB"/>
              </w:rPr>
            </w:pPr>
            <w:r w:rsidRPr="004C7DB7">
              <w:rPr>
                <w:b/>
                <w:color w:val="auto"/>
                <w:sz w:val="18"/>
                <w:szCs w:val="24"/>
                <w:lang w:eastAsia="en-GB"/>
              </w:rPr>
              <w:t>Sources and means of verification</w:t>
            </w:r>
          </w:p>
        </w:tc>
        <w:tc>
          <w:tcPr>
            <w:tcW w:w="2222" w:type="dxa"/>
            <w:shd w:val="clear" w:color="auto" w:fill="BFBFBF"/>
          </w:tcPr>
          <w:p w:rsidR="006544D5" w:rsidRPr="004C7DB7" w:rsidRDefault="006544D5" w:rsidP="00A77140">
            <w:pPr>
              <w:spacing w:before="0" w:line="280" w:lineRule="exact"/>
              <w:jc w:val="center"/>
              <w:rPr>
                <w:b/>
                <w:color w:val="auto"/>
                <w:sz w:val="18"/>
                <w:szCs w:val="24"/>
                <w:lang w:eastAsia="en-GB"/>
              </w:rPr>
            </w:pPr>
            <w:r w:rsidRPr="004C7DB7">
              <w:rPr>
                <w:b/>
                <w:color w:val="auto"/>
                <w:sz w:val="18"/>
                <w:szCs w:val="24"/>
                <w:lang w:eastAsia="en-GB"/>
              </w:rPr>
              <w:t>Assumptions</w:t>
            </w:r>
          </w:p>
        </w:tc>
      </w:tr>
      <w:tr w:rsidR="006544D5" w:rsidRPr="004C7DB7" w:rsidTr="006544D5">
        <w:trPr>
          <w:jc w:val="center"/>
        </w:trPr>
        <w:tc>
          <w:tcPr>
            <w:tcW w:w="779" w:type="dxa"/>
            <w:shd w:val="clear" w:color="auto" w:fill="D9D9D9" w:themeFill="background1" w:themeFillShade="D9"/>
            <w:textDirection w:val="btLr"/>
          </w:tcPr>
          <w:p w:rsidR="006544D5" w:rsidRPr="004C7DB7" w:rsidRDefault="006544D5" w:rsidP="00A77140">
            <w:pPr>
              <w:tabs>
                <w:tab w:val="left" w:pos="0"/>
                <w:tab w:val="left" w:pos="132"/>
              </w:tabs>
              <w:spacing w:before="0" w:line="280" w:lineRule="exact"/>
              <w:ind w:left="113" w:right="113"/>
              <w:jc w:val="center"/>
              <w:rPr>
                <w:b/>
                <w:color w:val="auto"/>
                <w:sz w:val="18"/>
                <w:szCs w:val="24"/>
                <w:lang w:eastAsia="en-GB"/>
              </w:rPr>
            </w:pPr>
            <w:r w:rsidRPr="004C7DB7">
              <w:rPr>
                <w:b/>
                <w:color w:val="auto"/>
                <w:sz w:val="18"/>
                <w:szCs w:val="24"/>
                <w:lang w:eastAsia="en-GB"/>
              </w:rPr>
              <w:t>Overall objective:</w:t>
            </w:r>
            <w:r>
              <w:rPr>
                <w:b/>
                <w:color w:val="auto"/>
                <w:sz w:val="18"/>
                <w:szCs w:val="24"/>
                <w:lang w:eastAsia="en-GB"/>
              </w:rPr>
              <w:t xml:space="preserve"> </w:t>
            </w:r>
            <w:r w:rsidRPr="004C7DB7">
              <w:rPr>
                <w:b/>
                <w:color w:val="auto"/>
                <w:sz w:val="18"/>
                <w:szCs w:val="24"/>
                <w:lang w:eastAsia="en-GB"/>
              </w:rPr>
              <w:t>Impact</w:t>
            </w:r>
          </w:p>
        </w:tc>
        <w:tc>
          <w:tcPr>
            <w:tcW w:w="3147" w:type="dxa"/>
          </w:tcPr>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b/>
                <w:color w:val="auto"/>
                <w:sz w:val="18"/>
                <w:szCs w:val="24"/>
                <w:lang w:eastAsia="en-GB"/>
              </w:rPr>
              <w:t>OO</w:t>
            </w:r>
            <w:r w:rsidRPr="004C7DB7">
              <w:rPr>
                <w:color w:val="auto"/>
                <w:sz w:val="18"/>
                <w:szCs w:val="24"/>
                <w:lang w:eastAsia="en-GB"/>
              </w:rPr>
              <w:t xml:space="preserve"> To improve the effectiveness of VET reforms so that they are more demand-driven and responsive to labour market needs and provide increased access to (self-) employment, including for disadvantaged groups. </w:t>
            </w:r>
          </w:p>
        </w:tc>
        <w:tc>
          <w:tcPr>
            <w:tcW w:w="2410" w:type="dxa"/>
            <w:shd w:val="clear" w:color="auto" w:fill="auto"/>
          </w:tcPr>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 xml:space="preserve">Youth Unemployment rate </w:t>
            </w:r>
          </w:p>
        </w:tc>
        <w:tc>
          <w:tcPr>
            <w:tcW w:w="1701" w:type="dxa"/>
            <w:shd w:val="clear" w:color="auto" w:fill="auto"/>
          </w:tcPr>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No statistics are currently available. Baseline and targets to be defined through baseline studies to be prepared in different countries</w:t>
            </w:r>
          </w:p>
        </w:tc>
        <w:tc>
          <w:tcPr>
            <w:tcW w:w="1559" w:type="dxa"/>
            <w:shd w:val="clear" w:color="auto" w:fill="auto"/>
          </w:tcPr>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National and international VET and labour statistics</w:t>
            </w:r>
          </w:p>
          <w:p w:rsidR="006544D5" w:rsidRPr="004C7DB7" w:rsidRDefault="006544D5" w:rsidP="00A77140">
            <w:pPr>
              <w:autoSpaceDE w:val="0"/>
              <w:autoSpaceDN w:val="0"/>
              <w:adjustRightInd w:val="0"/>
              <w:spacing w:before="0" w:line="280" w:lineRule="exact"/>
              <w:rPr>
                <w:color w:val="auto"/>
                <w:sz w:val="18"/>
                <w:szCs w:val="24"/>
                <w:lang w:eastAsia="en-GB"/>
              </w:rPr>
            </w:pPr>
          </w:p>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Reports and statistical data from Ministries of Education, Labour and other line Ministries</w:t>
            </w:r>
          </w:p>
        </w:tc>
        <w:tc>
          <w:tcPr>
            <w:tcW w:w="2222" w:type="dxa"/>
            <w:shd w:val="clear" w:color="auto" w:fill="auto"/>
          </w:tcPr>
          <w:p w:rsidR="006544D5" w:rsidRPr="004C7DB7" w:rsidRDefault="006544D5" w:rsidP="00A77140">
            <w:pPr>
              <w:spacing w:before="0" w:line="280" w:lineRule="exact"/>
              <w:ind w:left="34"/>
              <w:rPr>
                <w:color w:val="auto"/>
                <w:sz w:val="18"/>
                <w:szCs w:val="24"/>
                <w:lang w:eastAsia="en-GB"/>
              </w:rPr>
            </w:pPr>
          </w:p>
        </w:tc>
      </w:tr>
      <w:tr w:rsidR="006544D5" w:rsidRPr="004C7DB7" w:rsidTr="006544D5">
        <w:trPr>
          <w:trHeight w:val="70"/>
          <w:jc w:val="center"/>
        </w:trPr>
        <w:tc>
          <w:tcPr>
            <w:tcW w:w="779" w:type="dxa"/>
            <w:tcBorders>
              <w:bottom w:val="single" w:sz="4" w:space="0" w:color="auto"/>
            </w:tcBorders>
            <w:shd w:val="clear" w:color="auto" w:fill="D9D9D9"/>
            <w:textDirection w:val="btLr"/>
          </w:tcPr>
          <w:p w:rsidR="006544D5" w:rsidRPr="004C7DB7" w:rsidRDefault="006544D5" w:rsidP="00A77140">
            <w:pPr>
              <w:tabs>
                <w:tab w:val="left" w:pos="0"/>
                <w:tab w:val="left" w:pos="132"/>
              </w:tabs>
              <w:spacing w:before="0" w:line="280" w:lineRule="exact"/>
              <w:ind w:left="113" w:right="113" w:hanging="101"/>
              <w:jc w:val="right"/>
              <w:rPr>
                <w:b/>
                <w:color w:val="auto"/>
                <w:sz w:val="18"/>
                <w:szCs w:val="24"/>
                <w:lang w:eastAsia="en-GB"/>
              </w:rPr>
            </w:pPr>
            <w:r w:rsidRPr="004C7DB7">
              <w:rPr>
                <w:b/>
                <w:color w:val="auto"/>
                <w:sz w:val="18"/>
                <w:szCs w:val="24"/>
                <w:lang w:eastAsia="en-GB"/>
              </w:rPr>
              <w:t xml:space="preserve">Specific objective(s): </w:t>
            </w:r>
          </w:p>
          <w:p w:rsidR="006544D5" w:rsidRPr="004C7DB7" w:rsidRDefault="006544D5" w:rsidP="00A77140">
            <w:pPr>
              <w:tabs>
                <w:tab w:val="left" w:pos="0"/>
                <w:tab w:val="left" w:pos="132"/>
              </w:tabs>
              <w:spacing w:before="0" w:line="280" w:lineRule="exact"/>
              <w:ind w:left="113" w:right="113" w:hanging="101"/>
              <w:jc w:val="right"/>
              <w:rPr>
                <w:b/>
                <w:color w:val="auto"/>
                <w:sz w:val="18"/>
                <w:szCs w:val="24"/>
                <w:lang w:eastAsia="en-GB"/>
              </w:rPr>
            </w:pPr>
          </w:p>
        </w:tc>
        <w:tc>
          <w:tcPr>
            <w:tcW w:w="3147" w:type="dxa"/>
            <w:tcBorders>
              <w:bottom w:val="single" w:sz="4" w:space="0" w:color="auto"/>
            </w:tcBorders>
            <w:shd w:val="clear" w:color="auto" w:fill="auto"/>
          </w:tcPr>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b/>
                <w:color w:val="auto"/>
                <w:sz w:val="18"/>
                <w:szCs w:val="24"/>
                <w:lang w:eastAsia="en-GB"/>
              </w:rPr>
              <w:t>SO</w:t>
            </w:r>
            <w:r w:rsidRPr="004C7DB7">
              <w:rPr>
                <w:color w:val="auto"/>
                <w:sz w:val="18"/>
                <w:szCs w:val="24"/>
                <w:lang w:eastAsia="en-GB"/>
              </w:rPr>
              <w:t xml:space="preserve"> To provide partner countries with know-how, tools and advice in order to improve the labour market responsiveness of VET reforms, strategies and action plans, in particular the ones supported by the EU (EC and EU Member States), thereby also enabling the orientation towards an inclusion of disadvantaged groups.</w:t>
            </w:r>
          </w:p>
        </w:tc>
        <w:tc>
          <w:tcPr>
            <w:tcW w:w="2410" w:type="dxa"/>
            <w:tcBorders>
              <w:bottom w:val="single" w:sz="4" w:space="0" w:color="auto"/>
            </w:tcBorders>
            <w:shd w:val="clear" w:color="auto" w:fill="auto"/>
          </w:tcPr>
          <w:p w:rsidR="006544D5" w:rsidRDefault="006544D5" w:rsidP="008352D1">
            <w:pPr>
              <w:numPr>
                <w:ilvl w:val="0"/>
                <w:numId w:val="1"/>
              </w:numPr>
              <w:autoSpaceDE w:val="0"/>
              <w:autoSpaceDN w:val="0"/>
              <w:adjustRightInd w:val="0"/>
              <w:spacing w:before="0" w:line="280" w:lineRule="exact"/>
              <w:ind w:left="207" w:hanging="207"/>
              <w:rPr>
                <w:color w:val="auto"/>
                <w:sz w:val="18"/>
                <w:szCs w:val="24"/>
                <w:lang w:eastAsia="en-GB"/>
              </w:rPr>
            </w:pPr>
            <w:r w:rsidRPr="004C7DB7">
              <w:rPr>
                <w:color w:val="auto"/>
                <w:sz w:val="18"/>
                <w:szCs w:val="24"/>
                <w:lang w:eastAsia="en-GB"/>
              </w:rPr>
              <w:t xml:space="preserve">private sector participating in VET at different stages and levels. </w:t>
            </w:r>
          </w:p>
          <w:p w:rsidR="006544D5" w:rsidRDefault="006544D5" w:rsidP="00A77140">
            <w:pPr>
              <w:autoSpaceDE w:val="0"/>
              <w:autoSpaceDN w:val="0"/>
              <w:adjustRightInd w:val="0"/>
              <w:spacing w:before="0" w:line="280" w:lineRule="exact"/>
              <w:ind w:left="207"/>
              <w:rPr>
                <w:color w:val="auto"/>
                <w:sz w:val="18"/>
                <w:szCs w:val="24"/>
                <w:lang w:eastAsia="en-GB"/>
              </w:rPr>
            </w:pPr>
          </w:p>
          <w:p w:rsidR="006544D5" w:rsidRPr="004C7DB7" w:rsidRDefault="006544D5" w:rsidP="00A77140">
            <w:pPr>
              <w:autoSpaceDE w:val="0"/>
              <w:autoSpaceDN w:val="0"/>
              <w:adjustRightInd w:val="0"/>
              <w:spacing w:before="0" w:line="280" w:lineRule="exact"/>
              <w:ind w:left="207"/>
              <w:rPr>
                <w:color w:val="auto"/>
                <w:sz w:val="18"/>
                <w:szCs w:val="24"/>
                <w:lang w:eastAsia="en-GB"/>
              </w:rPr>
            </w:pPr>
          </w:p>
          <w:p w:rsidR="006544D5" w:rsidRDefault="006544D5" w:rsidP="008352D1">
            <w:pPr>
              <w:numPr>
                <w:ilvl w:val="0"/>
                <w:numId w:val="1"/>
              </w:numPr>
              <w:autoSpaceDE w:val="0"/>
              <w:autoSpaceDN w:val="0"/>
              <w:adjustRightInd w:val="0"/>
              <w:spacing w:before="0" w:line="280" w:lineRule="exact"/>
              <w:ind w:left="207" w:hanging="207"/>
              <w:rPr>
                <w:color w:val="auto"/>
                <w:sz w:val="18"/>
                <w:szCs w:val="24"/>
                <w:lang w:eastAsia="en-GB"/>
              </w:rPr>
            </w:pPr>
            <w:r w:rsidRPr="004C7DB7">
              <w:rPr>
                <w:color w:val="auto"/>
                <w:sz w:val="18"/>
                <w:szCs w:val="24"/>
                <w:lang w:eastAsia="en-GB"/>
              </w:rPr>
              <w:t>countries applying a more demand drive</w:t>
            </w:r>
            <w:r>
              <w:rPr>
                <w:color w:val="auto"/>
                <w:sz w:val="18"/>
                <w:szCs w:val="24"/>
                <w:lang w:eastAsia="en-GB"/>
              </w:rPr>
              <w:t>n</w:t>
            </w:r>
            <w:r w:rsidRPr="004C7DB7">
              <w:rPr>
                <w:color w:val="auto"/>
                <w:sz w:val="18"/>
                <w:szCs w:val="24"/>
                <w:lang w:eastAsia="en-GB"/>
              </w:rPr>
              <w:t xml:space="preserve"> approach to VET</w:t>
            </w:r>
          </w:p>
          <w:p w:rsidR="006544D5" w:rsidRDefault="006544D5" w:rsidP="00A77140">
            <w:pPr>
              <w:autoSpaceDE w:val="0"/>
              <w:autoSpaceDN w:val="0"/>
              <w:adjustRightInd w:val="0"/>
              <w:spacing w:before="0" w:line="280" w:lineRule="exact"/>
              <w:rPr>
                <w:color w:val="auto"/>
                <w:sz w:val="18"/>
                <w:szCs w:val="24"/>
                <w:lang w:eastAsia="en-GB"/>
              </w:rPr>
            </w:pPr>
          </w:p>
          <w:p w:rsidR="006544D5" w:rsidRPr="004C7DB7" w:rsidRDefault="006544D5" w:rsidP="00A77140">
            <w:pPr>
              <w:autoSpaceDE w:val="0"/>
              <w:autoSpaceDN w:val="0"/>
              <w:adjustRightInd w:val="0"/>
              <w:spacing w:before="0" w:line="280" w:lineRule="exact"/>
              <w:rPr>
                <w:color w:val="auto"/>
                <w:sz w:val="18"/>
                <w:szCs w:val="24"/>
                <w:lang w:eastAsia="en-GB"/>
              </w:rPr>
            </w:pPr>
          </w:p>
          <w:p w:rsidR="006544D5" w:rsidRPr="004C7DB7" w:rsidRDefault="006544D5" w:rsidP="008352D1">
            <w:pPr>
              <w:numPr>
                <w:ilvl w:val="0"/>
                <w:numId w:val="1"/>
              </w:numPr>
              <w:autoSpaceDE w:val="0"/>
              <w:autoSpaceDN w:val="0"/>
              <w:adjustRightInd w:val="0"/>
              <w:spacing w:before="0" w:line="280" w:lineRule="exact"/>
              <w:ind w:left="207" w:hanging="207"/>
              <w:rPr>
                <w:color w:val="auto"/>
                <w:sz w:val="18"/>
                <w:szCs w:val="24"/>
                <w:lang w:eastAsia="en-GB"/>
              </w:rPr>
            </w:pPr>
            <w:r w:rsidRPr="004C7DB7">
              <w:rPr>
                <w:color w:val="auto"/>
                <w:sz w:val="18"/>
                <w:szCs w:val="24"/>
                <w:lang w:eastAsia="en-GB"/>
              </w:rPr>
              <w:t xml:space="preserve">countries that have taken up inclusion </w:t>
            </w:r>
            <w:r w:rsidRPr="004C7DB7">
              <w:rPr>
                <w:color w:val="auto"/>
                <w:sz w:val="18"/>
                <w:szCs w:val="24"/>
                <w:lang w:eastAsia="en-GB"/>
              </w:rPr>
              <w:lastRenderedPageBreak/>
              <w:t>measures in VET</w:t>
            </w:r>
          </w:p>
          <w:p w:rsidR="006544D5" w:rsidRPr="004C7DB7" w:rsidRDefault="006544D5" w:rsidP="00A77140">
            <w:pPr>
              <w:autoSpaceDE w:val="0"/>
              <w:autoSpaceDN w:val="0"/>
              <w:adjustRightInd w:val="0"/>
              <w:spacing w:before="0" w:line="280" w:lineRule="exact"/>
              <w:rPr>
                <w:color w:val="auto"/>
                <w:sz w:val="18"/>
                <w:szCs w:val="24"/>
                <w:lang w:eastAsia="en-GB"/>
              </w:rPr>
            </w:pPr>
          </w:p>
        </w:tc>
        <w:tc>
          <w:tcPr>
            <w:tcW w:w="1701" w:type="dxa"/>
            <w:tcBorders>
              <w:bottom w:val="single" w:sz="4" w:space="0" w:color="auto"/>
            </w:tcBorders>
            <w:shd w:val="clear" w:color="auto" w:fill="auto"/>
          </w:tcPr>
          <w:p w:rsidR="006544D5" w:rsidRDefault="006544D5" w:rsidP="00A77140">
            <w:pPr>
              <w:spacing w:before="0" w:line="280" w:lineRule="exact"/>
              <w:rPr>
                <w:color w:val="auto"/>
                <w:sz w:val="18"/>
                <w:szCs w:val="24"/>
                <w:lang w:eastAsia="en-GB"/>
              </w:rPr>
            </w:pPr>
            <w:r w:rsidRPr="004C7DB7">
              <w:rPr>
                <w:color w:val="auto"/>
                <w:sz w:val="18"/>
                <w:szCs w:val="24"/>
                <w:lang w:eastAsia="en-GB"/>
              </w:rPr>
              <w:lastRenderedPageBreak/>
              <w:t xml:space="preserve">No statistics are currently available, as the partner countries are not pre-defined. </w:t>
            </w:r>
          </w:p>
          <w:p w:rsidR="006544D5" w:rsidRPr="004C7DB7" w:rsidRDefault="006544D5" w:rsidP="00A77140">
            <w:pPr>
              <w:spacing w:before="0" w:line="280" w:lineRule="exact"/>
              <w:rPr>
                <w:color w:val="auto"/>
                <w:sz w:val="18"/>
                <w:szCs w:val="24"/>
                <w:lang w:eastAsia="en-GB"/>
              </w:rPr>
            </w:pPr>
            <w:r>
              <w:rPr>
                <w:color w:val="auto"/>
                <w:sz w:val="18"/>
                <w:szCs w:val="24"/>
                <w:lang w:eastAsia="en-GB"/>
              </w:rPr>
              <w:t>T</w:t>
            </w:r>
            <w:r w:rsidRPr="004C7DB7">
              <w:rPr>
                <w:color w:val="auto"/>
                <w:sz w:val="18"/>
                <w:szCs w:val="24"/>
                <w:lang w:eastAsia="en-GB"/>
              </w:rPr>
              <w:t xml:space="preserve">argets to be </w:t>
            </w:r>
            <w:r>
              <w:rPr>
                <w:color w:val="auto"/>
                <w:sz w:val="18"/>
                <w:szCs w:val="24"/>
                <w:lang w:eastAsia="en-GB"/>
              </w:rPr>
              <w:t>confirmed at inception</w:t>
            </w:r>
          </w:p>
        </w:tc>
        <w:tc>
          <w:tcPr>
            <w:tcW w:w="1559" w:type="dxa"/>
            <w:tcBorders>
              <w:bottom w:val="single" w:sz="4" w:space="0" w:color="auto"/>
            </w:tcBorders>
            <w:shd w:val="clear" w:color="auto" w:fill="auto"/>
          </w:tcPr>
          <w:p w:rsidR="006544D5"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PMU reports</w:t>
            </w:r>
          </w:p>
          <w:p w:rsidR="006544D5" w:rsidRDefault="006544D5" w:rsidP="00A77140">
            <w:pPr>
              <w:autoSpaceDE w:val="0"/>
              <w:autoSpaceDN w:val="0"/>
              <w:adjustRightInd w:val="0"/>
              <w:spacing w:before="0" w:line="280" w:lineRule="exact"/>
              <w:rPr>
                <w:color w:val="auto"/>
                <w:sz w:val="18"/>
                <w:szCs w:val="24"/>
                <w:lang w:eastAsia="en-GB"/>
              </w:rPr>
            </w:pPr>
          </w:p>
          <w:p w:rsidR="006544D5" w:rsidRDefault="006544D5" w:rsidP="00A77140">
            <w:pPr>
              <w:autoSpaceDE w:val="0"/>
              <w:autoSpaceDN w:val="0"/>
              <w:adjustRightInd w:val="0"/>
              <w:spacing w:before="0" w:line="280" w:lineRule="exact"/>
              <w:rPr>
                <w:color w:val="auto"/>
                <w:sz w:val="18"/>
                <w:szCs w:val="24"/>
                <w:lang w:eastAsia="en-GB"/>
              </w:rPr>
            </w:pPr>
            <w:r>
              <w:rPr>
                <w:color w:val="auto"/>
                <w:sz w:val="18"/>
                <w:szCs w:val="24"/>
                <w:lang w:eastAsia="en-GB"/>
              </w:rPr>
              <w:t xml:space="preserve">Questionnaires for beneficiaries </w:t>
            </w:r>
          </w:p>
          <w:p w:rsidR="006544D5" w:rsidRDefault="006544D5" w:rsidP="00A77140">
            <w:pPr>
              <w:autoSpaceDE w:val="0"/>
              <w:autoSpaceDN w:val="0"/>
              <w:adjustRightInd w:val="0"/>
              <w:spacing w:before="0" w:line="280" w:lineRule="exact"/>
              <w:rPr>
                <w:color w:val="auto"/>
                <w:sz w:val="18"/>
                <w:szCs w:val="24"/>
                <w:lang w:eastAsia="en-GB"/>
              </w:rPr>
            </w:pPr>
          </w:p>
          <w:p w:rsidR="006544D5" w:rsidRPr="004C7DB7" w:rsidRDefault="006544D5" w:rsidP="00A77140">
            <w:pPr>
              <w:autoSpaceDE w:val="0"/>
              <w:autoSpaceDN w:val="0"/>
              <w:adjustRightInd w:val="0"/>
              <w:spacing w:before="0" w:line="280" w:lineRule="exact"/>
              <w:rPr>
                <w:color w:val="auto"/>
                <w:sz w:val="18"/>
                <w:szCs w:val="24"/>
                <w:lang w:eastAsia="en-GB"/>
              </w:rPr>
            </w:pPr>
          </w:p>
          <w:p w:rsidR="006544D5" w:rsidRPr="004C7DB7" w:rsidRDefault="006544D5" w:rsidP="00A77140">
            <w:pPr>
              <w:autoSpaceDE w:val="0"/>
              <w:autoSpaceDN w:val="0"/>
              <w:adjustRightInd w:val="0"/>
              <w:spacing w:before="0" w:line="280" w:lineRule="exact"/>
              <w:rPr>
                <w:color w:val="auto"/>
                <w:sz w:val="18"/>
                <w:szCs w:val="24"/>
                <w:lang w:eastAsia="en-GB"/>
              </w:rPr>
            </w:pPr>
          </w:p>
        </w:tc>
        <w:tc>
          <w:tcPr>
            <w:tcW w:w="2222" w:type="dxa"/>
            <w:shd w:val="clear" w:color="auto" w:fill="auto"/>
          </w:tcPr>
          <w:p w:rsidR="006544D5" w:rsidRPr="004C7DB7" w:rsidRDefault="006544D5" w:rsidP="00A77140">
            <w:pPr>
              <w:spacing w:before="0" w:line="280" w:lineRule="exact"/>
              <w:ind w:left="34"/>
              <w:rPr>
                <w:color w:val="auto"/>
                <w:sz w:val="18"/>
                <w:szCs w:val="24"/>
                <w:lang w:eastAsia="en-GB"/>
              </w:rPr>
            </w:pPr>
            <w:r w:rsidRPr="004C7DB7">
              <w:rPr>
                <w:color w:val="auto"/>
                <w:sz w:val="18"/>
                <w:szCs w:val="24"/>
                <w:lang w:eastAsia="en-GB"/>
              </w:rPr>
              <w:t>Economic development leads to employment creation in the target countries.</w:t>
            </w:r>
          </w:p>
          <w:p w:rsidR="006544D5" w:rsidRPr="004C7DB7" w:rsidRDefault="006544D5" w:rsidP="00A77140">
            <w:pPr>
              <w:spacing w:before="0" w:line="280" w:lineRule="exact"/>
              <w:ind w:left="34"/>
              <w:rPr>
                <w:color w:val="auto"/>
                <w:sz w:val="18"/>
                <w:szCs w:val="24"/>
                <w:lang w:eastAsia="en-GB"/>
              </w:rPr>
            </w:pPr>
          </w:p>
          <w:p w:rsidR="006544D5" w:rsidRPr="004C7DB7" w:rsidRDefault="006544D5" w:rsidP="00A77140">
            <w:pPr>
              <w:spacing w:before="0" w:line="280" w:lineRule="exact"/>
              <w:ind w:left="34"/>
              <w:rPr>
                <w:color w:val="auto"/>
                <w:sz w:val="18"/>
                <w:szCs w:val="24"/>
                <w:lang w:eastAsia="en-GB"/>
              </w:rPr>
            </w:pPr>
            <w:r w:rsidRPr="004C7DB7">
              <w:rPr>
                <w:color w:val="auto"/>
                <w:sz w:val="18"/>
                <w:szCs w:val="24"/>
                <w:lang w:eastAsia="en-GB"/>
              </w:rPr>
              <w:t xml:space="preserve">Governments and the private sector are open for cooperation and sharing of responsibility. </w:t>
            </w:r>
          </w:p>
          <w:p w:rsidR="006544D5" w:rsidRPr="004C7DB7" w:rsidRDefault="006544D5" w:rsidP="00A77140">
            <w:pPr>
              <w:spacing w:before="0" w:line="280" w:lineRule="exact"/>
              <w:ind w:left="34"/>
              <w:rPr>
                <w:color w:val="auto"/>
                <w:sz w:val="18"/>
                <w:szCs w:val="24"/>
                <w:lang w:eastAsia="en-GB"/>
              </w:rPr>
            </w:pPr>
          </w:p>
          <w:p w:rsidR="006544D5" w:rsidRPr="004C7DB7" w:rsidRDefault="006544D5" w:rsidP="00A77140">
            <w:pPr>
              <w:spacing w:before="0" w:line="280" w:lineRule="exact"/>
              <w:ind w:left="34"/>
              <w:rPr>
                <w:color w:val="auto"/>
                <w:sz w:val="18"/>
                <w:szCs w:val="24"/>
                <w:lang w:eastAsia="en-GB"/>
              </w:rPr>
            </w:pPr>
            <w:r w:rsidRPr="004C7DB7">
              <w:rPr>
                <w:color w:val="auto"/>
                <w:sz w:val="18"/>
                <w:szCs w:val="24"/>
                <w:lang w:eastAsia="en-GB"/>
              </w:rPr>
              <w:t xml:space="preserve">Governments </w:t>
            </w:r>
            <w:r>
              <w:rPr>
                <w:color w:val="auto"/>
                <w:sz w:val="18"/>
                <w:szCs w:val="24"/>
                <w:lang w:eastAsia="en-GB"/>
              </w:rPr>
              <w:t>continue to fund</w:t>
            </w:r>
            <w:r w:rsidRPr="004C7DB7">
              <w:rPr>
                <w:color w:val="auto"/>
                <w:sz w:val="18"/>
                <w:szCs w:val="24"/>
                <w:lang w:eastAsia="en-GB"/>
              </w:rPr>
              <w:t xml:space="preserve"> VET</w:t>
            </w:r>
          </w:p>
          <w:p w:rsidR="006544D5" w:rsidRPr="004C7DB7" w:rsidRDefault="006544D5" w:rsidP="00A77140">
            <w:pPr>
              <w:spacing w:before="0" w:line="280" w:lineRule="exact"/>
              <w:ind w:left="34"/>
              <w:rPr>
                <w:color w:val="auto"/>
                <w:sz w:val="18"/>
                <w:szCs w:val="24"/>
                <w:lang w:eastAsia="en-GB"/>
              </w:rPr>
            </w:pPr>
          </w:p>
          <w:p w:rsidR="006544D5" w:rsidRDefault="006544D5" w:rsidP="00A77140">
            <w:pPr>
              <w:spacing w:before="0" w:line="280" w:lineRule="exact"/>
              <w:ind w:left="34"/>
              <w:rPr>
                <w:color w:val="auto"/>
                <w:sz w:val="18"/>
                <w:szCs w:val="24"/>
                <w:lang w:eastAsia="en-GB"/>
              </w:rPr>
            </w:pPr>
            <w:r w:rsidRPr="004C7DB7">
              <w:rPr>
                <w:color w:val="auto"/>
                <w:sz w:val="18"/>
                <w:szCs w:val="24"/>
                <w:lang w:eastAsia="en-GB"/>
              </w:rPr>
              <w:lastRenderedPageBreak/>
              <w:t>VET is considered an option for the population including disadvantaged groups</w:t>
            </w:r>
          </w:p>
          <w:p w:rsidR="006544D5" w:rsidRDefault="006544D5" w:rsidP="00A77140">
            <w:pPr>
              <w:autoSpaceDE w:val="0"/>
              <w:autoSpaceDN w:val="0"/>
              <w:adjustRightInd w:val="0"/>
              <w:spacing w:before="0" w:line="280" w:lineRule="exact"/>
              <w:rPr>
                <w:color w:val="auto"/>
                <w:sz w:val="18"/>
                <w:szCs w:val="24"/>
                <w:lang w:eastAsia="en-GB"/>
              </w:rPr>
            </w:pPr>
          </w:p>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Factors outside the project management’s control may impact on the outcome-impact linkage</w:t>
            </w:r>
          </w:p>
        </w:tc>
      </w:tr>
      <w:tr w:rsidR="006544D5" w:rsidRPr="004C7DB7" w:rsidTr="006544D5">
        <w:trPr>
          <w:jc w:val="center"/>
        </w:trPr>
        <w:tc>
          <w:tcPr>
            <w:tcW w:w="779" w:type="dxa"/>
            <w:shd w:val="clear" w:color="auto" w:fill="D9D9D9"/>
            <w:textDirection w:val="btLr"/>
          </w:tcPr>
          <w:p w:rsidR="006544D5" w:rsidRPr="004C7DB7" w:rsidRDefault="006544D5" w:rsidP="00A77140">
            <w:pPr>
              <w:tabs>
                <w:tab w:val="left" w:pos="0"/>
                <w:tab w:val="left" w:pos="132"/>
              </w:tabs>
              <w:spacing w:before="0" w:line="280" w:lineRule="exact"/>
              <w:ind w:left="113" w:right="113" w:hanging="101"/>
              <w:jc w:val="right"/>
              <w:rPr>
                <w:b/>
                <w:color w:val="auto"/>
                <w:sz w:val="18"/>
                <w:szCs w:val="24"/>
                <w:lang w:eastAsia="en-GB"/>
              </w:rPr>
            </w:pPr>
            <w:r w:rsidRPr="004C7DB7">
              <w:rPr>
                <w:b/>
                <w:color w:val="auto"/>
                <w:sz w:val="18"/>
                <w:szCs w:val="24"/>
                <w:lang w:eastAsia="en-GB"/>
              </w:rPr>
              <w:lastRenderedPageBreak/>
              <w:t>Outputs</w:t>
            </w:r>
          </w:p>
        </w:tc>
        <w:tc>
          <w:tcPr>
            <w:tcW w:w="3147" w:type="dxa"/>
            <w:shd w:val="clear" w:color="auto" w:fill="FFFFFF"/>
          </w:tcPr>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Result 1. Tools and advice for VET system and labour market analysis are provided to assist local stakeholders to improve evidence-based VET programming, and serve as basis for informed strategic decisions in response to demographics, economic development and labour market needs.</w:t>
            </w:r>
          </w:p>
        </w:tc>
        <w:tc>
          <w:tcPr>
            <w:tcW w:w="2410" w:type="dxa"/>
            <w:shd w:val="clear" w:color="auto" w:fill="FFFFFF"/>
          </w:tcPr>
          <w:p w:rsidR="006544D5" w:rsidRPr="004C7DB7" w:rsidRDefault="006544D5" w:rsidP="008352D1">
            <w:pPr>
              <w:numPr>
                <w:ilvl w:val="0"/>
                <w:numId w:val="1"/>
              </w:numPr>
              <w:autoSpaceDE w:val="0"/>
              <w:autoSpaceDN w:val="0"/>
              <w:adjustRightInd w:val="0"/>
              <w:spacing w:before="0" w:line="280" w:lineRule="exact"/>
              <w:ind w:left="207" w:hanging="207"/>
              <w:rPr>
                <w:color w:val="auto"/>
                <w:sz w:val="18"/>
                <w:szCs w:val="24"/>
                <w:lang w:eastAsia="en-GB"/>
              </w:rPr>
            </w:pPr>
            <w:r>
              <w:rPr>
                <w:color w:val="auto"/>
                <w:sz w:val="18"/>
                <w:szCs w:val="24"/>
                <w:lang w:eastAsia="en-GB"/>
              </w:rPr>
              <w:t>Number of</w:t>
            </w:r>
            <w:r w:rsidRPr="004C7DB7">
              <w:rPr>
                <w:color w:val="auto"/>
                <w:sz w:val="18"/>
                <w:szCs w:val="24"/>
                <w:lang w:eastAsia="en-GB"/>
              </w:rPr>
              <w:t xml:space="preserve"> partner countries </w:t>
            </w:r>
            <w:r>
              <w:rPr>
                <w:color w:val="auto"/>
                <w:sz w:val="18"/>
                <w:szCs w:val="24"/>
                <w:lang w:eastAsia="en-GB"/>
              </w:rPr>
              <w:t xml:space="preserve">that received </w:t>
            </w:r>
            <w:r w:rsidRPr="004C7DB7">
              <w:rPr>
                <w:color w:val="auto"/>
                <w:sz w:val="18"/>
                <w:szCs w:val="24"/>
                <w:lang w:eastAsia="en-GB"/>
              </w:rPr>
              <w:t>tools</w:t>
            </w:r>
            <w:r>
              <w:rPr>
                <w:color w:val="auto"/>
                <w:sz w:val="18"/>
                <w:szCs w:val="24"/>
                <w:lang w:eastAsia="en-GB"/>
              </w:rPr>
              <w:t xml:space="preserve"> and support</w:t>
            </w:r>
            <w:r w:rsidRPr="004C7DB7">
              <w:rPr>
                <w:color w:val="auto"/>
                <w:sz w:val="18"/>
                <w:szCs w:val="24"/>
                <w:lang w:eastAsia="en-GB"/>
              </w:rPr>
              <w:t xml:space="preserve"> </w:t>
            </w:r>
          </w:p>
          <w:p w:rsidR="006544D5" w:rsidRDefault="006544D5" w:rsidP="008352D1">
            <w:pPr>
              <w:numPr>
                <w:ilvl w:val="0"/>
                <w:numId w:val="1"/>
              </w:numPr>
              <w:autoSpaceDE w:val="0"/>
              <w:autoSpaceDN w:val="0"/>
              <w:adjustRightInd w:val="0"/>
              <w:spacing w:before="0" w:line="280" w:lineRule="exact"/>
              <w:ind w:left="207" w:hanging="207"/>
              <w:rPr>
                <w:color w:val="auto"/>
                <w:sz w:val="18"/>
                <w:szCs w:val="24"/>
                <w:lang w:eastAsia="en-GB"/>
              </w:rPr>
            </w:pPr>
            <w:r>
              <w:rPr>
                <w:color w:val="auto"/>
                <w:sz w:val="18"/>
                <w:szCs w:val="24"/>
                <w:lang w:eastAsia="en-GB"/>
              </w:rPr>
              <w:t xml:space="preserve">Number of </w:t>
            </w:r>
            <w:r w:rsidRPr="004C7DB7">
              <w:rPr>
                <w:color w:val="auto"/>
                <w:sz w:val="18"/>
                <w:szCs w:val="24"/>
                <w:lang w:eastAsia="en-GB"/>
              </w:rPr>
              <w:t>expertise days provided on vocational guidance</w:t>
            </w:r>
          </w:p>
          <w:p w:rsidR="006544D5" w:rsidRPr="004C7DB7" w:rsidRDefault="006544D5" w:rsidP="008352D1">
            <w:pPr>
              <w:numPr>
                <w:ilvl w:val="0"/>
                <w:numId w:val="1"/>
              </w:numPr>
              <w:autoSpaceDE w:val="0"/>
              <w:autoSpaceDN w:val="0"/>
              <w:adjustRightInd w:val="0"/>
              <w:spacing w:before="0" w:line="280" w:lineRule="exact"/>
              <w:ind w:left="207" w:hanging="207"/>
              <w:rPr>
                <w:color w:val="auto"/>
                <w:sz w:val="18"/>
                <w:szCs w:val="24"/>
                <w:lang w:eastAsia="en-GB"/>
              </w:rPr>
            </w:pPr>
            <w:r>
              <w:rPr>
                <w:color w:val="auto"/>
                <w:sz w:val="18"/>
                <w:szCs w:val="24"/>
                <w:lang w:eastAsia="en-GB"/>
              </w:rPr>
              <w:t>% of user satisfaction of tools and expertise by beneficiary</w:t>
            </w:r>
          </w:p>
          <w:p w:rsidR="006544D5" w:rsidRPr="004C7DB7" w:rsidRDefault="006544D5" w:rsidP="00A77140">
            <w:pPr>
              <w:autoSpaceDE w:val="0"/>
              <w:autoSpaceDN w:val="0"/>
              <w:adjustRightInd w:val="0"/>
              <w:spacing w:before="0" w:line="280" w:lineRule="exact"/>
              <w:ind w:left="207"/>
              <w:rPr>
                <w:color w:val="auto"/>
                <w:sz w:val="18"/>
                <w:szCs w:val="24"/>
                <w:lang w:eastAsia="en-GB"/>
              </w:rPr>
            </w:pPr>
          </w:p>
          <w:p w:rsidR="006544D5" w:rsidRPr="004C7DB7" w:rsidRDefault="006544D5" w:rsidP="00A77140">
            <w:pPr>
              <w:autoSpaceDE w:val="0"/>
              <w:autoSpaceDN w:val="0"/>
              <w:adjustRightInd w:val="0"/>
              <w:spacing w:before="0" w:line="280" w:lineRule="exact"/>
              <w:rPr>
                <w:color w:val="auto"/>
                <w:sz w:val="18"/>
                <w:szCs w:val="24"/>
                <w:lang w:eastAsia="en-GB"/>
              </w:rPr>
            </w:pPr>
          </w:p>
        </w:tc>
        <w:tc>
          <w:tcPr>
            <w:tcW w:w="1701" w:type="dxa"/>
            <w:shd w:val="clear" w:color="auto" w:fill="FFFFFF"/>
          </w:tcPr>
          <w:p w:rsidR="006544D5" w:rsidRPr="004C7DB7" w:rsidRDefault="006544D5" w:rsidP="00A77140">
            <w:pPr>
              <w:spacing w:before="0" w:line="280" w:lineRule="exact"/>
              <w:rPr>
                <w:color w:val="auto"/>
                <w:sz w:val="18"/>
                <w:szCs w:val="24"/>
                <w:lang w:eastAsia="en-GB"/>
              </w:rPr>
            </w:pPr>
            <w:r w:rsidRPr="004C7DB7">
              <w:rPr>
                <w:color w:val="auto"/>
                <w:sz w:val="18"/>
                <w:szCs w:val="24"/>
                <w:lang w:eastAsia="en-GB"/>
              </w:rPr>
              <w:t xml:space="preserve">0 at the beginning of the intervention </w:t>
            </w:r>
          </w:p>
          <w:p w:rsidR="006544D5" w:rsidRPr="004C7DB7" w:rsidRDefault="006544D5" w:rsidP="00A77140">
            <w:pPr>
              <w:spacing w:before="0" w:line="280" w:lineRule="exact"/>
              <w:rPr>
                <w:color w:val="auto"/>
                <w:sz w:val="18"/>
                <w:szCs w:val="24"/>
                <w:lang w:eastAsia="en-GB"/>
              </w:rPr>
            </w:pPr>
          </w:p>
          <w:p w:rsidR="006544D5" w:rsidRPr="004C7DB7" w:rsidRDefault="006544D5" w:rsidP="00A77140">
            <w:pPr>
              <w:spacing w:before="0" w:line="280" w:lineRule="exact"/>
              <w:rPr>
                <w:color w:val="auto"/>
                <w:sz w:val="18"/>
                <w:szCs w:val="24"/>
                <w:lang w:eastAsia="en-GB"/>
              </w:rPr>
            </w:pPr>
          </w:p>
        </w:tc>
        <w:tc>
          <w:tcPr>
            <w:tcW w:w="1559" w:type="dxa"/>
            <w:shd w:val="clear" w:color="auto" w:fill="FFFFFF"/>
          </w:tcPr>
          <w:p w:rsidR="006544D5" w:rsidRDefault="006544D5" w:rsidP="00A77140">
            <w:pPr>
              <w:spacing w:before="0" w:line="280" w:lineRule="exact"/>
              <w:rPr>
                <w:color w:val="auto"/>
                <w:sz w:val="18"/>
                <w:szCs w:val="24"/>
                <w:lang w:eastAsia="en-GB"/>
              </w:rPr>
            </w:pPr>
            <w:r w:rsidRPr="004C7DB7">
              <w:rPr>
                <w:color w:val="auto"/>
                <w:sz w:val="18"/>
                <w:szCs w:val="24"/>
                <w:lang w:eastAsia="en-GB"/>
              </w:rPr>
              <w:t xml:space="preserve">PMU </w:t>
            </w:r>
            <w:r>
              <w:rPr>
                <w:color w:val="auto"/>
                <w:sz w:val="18"/>
                <w:szCs w:val="24"/>
                <w:lang w:eastAsia="en-GB"/>
              </w:rPr>
              <w:t>and agencies</w:t>
            </w:r>
            <w:r w:rsidRPr="004C7DB7">
              <w:rPr>
                <w:color w:val="auto"/>
                <w:sz w:val="18"/>
                <w:szCs w:val="24"/>
                <w:lang w:eastAsia="en-GB"/>
              </w:rPr>
              <w:t xml:space="preserve"> reports</w:t>
            </w:r>
          </w:p>
          <w:p w:rsidR="006544D5" w:rsidRDefault="006544D5" w:rsidP="00A77140">
            <w:pPr>
              <w:spacing w:before="0" w:line="280" w:lineRule="exact"/>
              <w:rPr>
                <w:color w:val="auto"/>
                <w:sz w:val="18"/>
                <w:szCs w:val="24"/>
                <w:lang w:eastAsia="en-GB"/>
              </w:rPr>
            </w:pPr>
          </w:p>
          <w:p w:rsidR="006544D5" w:rsidRPr="004C7DB7" w:rsidRDefault="006544D5" w:rsidP="00A77140">
            <w:pPr>
              <w:spacing w:before="0" w:line="280" w:lineRule="exact"/>
              <w:rPr>
                <w:color w:val="auto"/>
                <w:sz w:val="18"/>
                <w:szCs w:val="24"/>
                <w:lang w:eastAsia="en-GB"/>
              </w:rPr>
            </w:pPr>
            <w:r w:rsidRPr="00CE6C9A">
              <w:rPr>
                <w:color w:val="auto"/>
                <w:sz w:val="18"/>
                <w:szCs w:val="24"/>
                <w:lang w:eastAsia="en-GB"/>
              </w:rPr>
              <w:t>Questionnaires for beneficiaries</w:t>
            </w:r>
          </w:p>
          <w:p w:rsidR="006544D5" w:rsidRPr="004C7DB7" w:rsidRDefault="006544D5" w:rsidP="00A77140">
            <w:pPr>
              <w:spacing w:before="0" w:line="280" w:lineRule="exact"/>
              <w:rPr>
                <w:color w:val="auto"/>
                <w:sz w:val="18"/>
                <w:szCs w:val="24"/>
                <w:lang w:eastAsia="en-GB"/>
              </w:rPr>
            </w:pPr>
          </w:p>
          <w:p w:rsidR="006544D5" w:rsidRPr="004C7DB7" w:rsidRDefault="006544D5" w:rsidP="00A77140">
            <w:pPr>
              <w:spacing w:before="0" w:line="280" w:lineRule="exact"/>
              <w:ind w:left="193"/>
              <w:rPr>
                <w:color w:val="auto"/>
                <w:sz w:val="18"/>
                <w:szCs w:val="24"/>
                <w:lang w:eastAsia="en-GB"/>
              </w:rPr>
            </w:pPr>
          </w:p>
          <w:p w:rsidR="006544D5" w:rsidRPr="004C7DB7" w:rsidRDefault="006544D5" w:rsidP="00A77140">
            <w:pPr>
              <w:spacing w:before="0" w:line="280" w:lineRule="exact"/>
              <w:ind w:left="193"/>
              <w:rPr>
                <w:color w:val="auto"/>
                <w:sz w:val="18"/>
                <w:szCs w:val="24"/>
                <w:lang w:eastAsia="en-GB"/>
              </w:rPr>
            </w:pPr>
          </w:p>
          <w:p w:rsidR="006544D5" w:rsidRPr="004C7DB7" w:rsidRDefault="006544D5" w:rsidP="00A77140">
            <w:pPr>
              <w:spacing w:before="0" w:line="280" w:lineRule="exact"/>
              <w:ind w:left="193"/>
              <w:rPr>
                <w:color w:val="auto"/>
                <w:sz w:val="18"/>
                <w:szCs w:val="24"/>
                <w:lang w:eastAsia="en-GB"/>
              </w:rPr>
            </w:pPr>
          </w:p>
          <w:p w:rsidR="006544D5" w:rsidRPr="004C7DB7" w:rsidRDefault="006544D5" w:rsidP="00A77140">
            <w:pPr>
              <w:spacing w:before="0" w:line="280" w:lineRule="exact"/>
              <w:rPr>
                <w:color w:val="auto"/>
                <w:sz w:val="18"/>
                <w:szCs w:val="24"/>
                <w:lang w:eastAsia="en-GB"/>
              </w:rPr>
            </w:pPr>
          </w:p>
        </w:tc>
        <w:tc>
          <w:tcPr>
            <w:tcW w:w="2222" w:type="dxa"/>
            <w:shd w:val="clear" w:color="auto" w:fill="auto"/>
          </w:tcPr>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Target countries and stakeholders are sufficiently interested to analyse labour market and V</w:t>
            </w:r>
            <w:r>
              <w:rPr>
                <w:color w:val="auto"/>
                <w:sz w:val="18"/>
                <w:szCs w:val="24"/>
                <w:lang w:eastAsia="en-GB"/>
              </w:rPr>
              <w:t>ET</w:t>
            </w:r>
            <w:r w:rsidRPr="004C7DB7">
              <w:rPr>
                <w:color w:val="auto"/>
                <w:sz w:val="18"/>
                <w:szCs w:val="24"/>
                <w:lang w:eastAsia="en-GB"/>
              </w:rPr>
              <w:t xml:space="preserve"> systems</w:t>
            </w:r>
          </w:p>
          <w:p w:rsidR="006544D5" w:rsidRPr="004C7DB7" w:rsidRDefault="006544D5" w:rsidP="00A77140">
            <w:pPr>
              <w:autoSpaceDE w:val="0"/>
              <w:autoSpaceDN w:val="0"/>
              <w:adjustRightInd w:val="0"/>
              <w:spacing w:before="0" w:line="280" w:lineRule="exact"/>
              <w:rPr>
                <w:color w:val="auto"/>
                <w:sz w:val="18"/>
                <w:szCs w:val="24"/>
                <w:lang w:eastAsia="en-GB"/>
              </w:rPr>
            </w:pPr>
          </w:p>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Countries feel ownership over results and are prepared to translate findings into policy</w:t>
            </w:r>
          </w:p>
        </w:tc>
      </w:tr>
      <w:tr w:rsidR="006544D5" w:rsidRPr="004C7DB7" w:rsidTr="006544D5">
        <w:trPr>
          <w:trHeight w:val="1416"/>
          <w:jc w:val="center"/>
        </w:trPr>
        <w:tc>
          <w:tcPr>
            <w:tcW w:w="779" w:type="dxa"/>
            <w:shd w:val="clear" w:color="auto" w:fill="D9D9D9"/>
            <w:textDirection w:val="btLr"/>
          </w:tcPr>
          <w:p w:rsidR="006544D5" w:rsidRPr="004C7DB7" w:rsidRDefault="006544D5" w:rsidP="00A77140">
            <w:pPr>
              <w:tabs>
                <w:tab w:val="left" w:pos="0"/>
                <w:tab w:val="left" w:pos="132"/>
              </w:tabs>
              <w:spacing w:before="0" w:line="280" w:lineRule="exact"/>
              <w:ind w:left="113" w:right="113" w:hanging="101"/>
              <w:jc w:val="right"/>
              <w:rPr>
                <w:b/>
                <w:color w:val="auto"/>
                <w:sz w:val="18"/>
                <w:szCs w:val="24"/>
                <w:lang w:eastAsia="en-GB"/>
              </w:rPr>
            </w:pPr>
            <w:r w:rsidRPr="004C7DB7">
              <w:rPr>
                <w:b/>
                <w:color w:val="auto"/>
                <w:sz w:val="18"/>
                <w:szCs w:val="24"/>
                <w:lang w:eastAsia="en-GB"/>
              </w:rPr>
              <w:t>Outputs</w:t>
            </w:r>
          </w:p>
        </w:tc>
        <w:tc>
          <w:tcPr>
            <w:tcW w:w="3147" w:type="dxa"/>
            <w:shd w:val="clear" w:color="auto" w:fill="FFFFFF"/>
          </w:tcPr>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Result 2. Tools and advice necessary to put in place sustainable mechanisms of consultation and active participation of the private sector in VET are developed and delivered.</w:t>
            </w:r>
          </w:p>
        </w:tc>
        <w:tc>
          <w:tcPr>
            <w:tcW w:w="2410" w:type="dxa"/>
            <w:shd w:val="clear" w:color="auto" w:fill="FFFFFF"/>
          </w:tcPr>
          <w:p w:rsidR="006544D5" w:rsidRPr="004C7DB7" w:rsidRDefault="006544D5" w:rsidP="008352D1">
            <w:pPr>
              <w:numPr>
                <w:ilvl w:val="0"/>
                <w:numId w:val="1"/>
              </w:numPr>
              <w:autoSpaceDE w:val="0"/>
              <w:autoSpaceDN w:val="0"/>
              <w:adjustRightInd w:val="0"/>
              <w:spacing w:before="0" w:line="280" w:lineRule="exact"/>
              <w:ind w:left="207" w:hanging="207"/>
              <w:rPr>
                <w:color w:val="auto"/>
                <w:sz w:val="18"/>
                <w:szCs w:val="24"/>
                <w:lang w:eastAsia="en-GB"/>
              </w:rPr>
            </w:pPr>
            <w:r>
              <w:rPr>
                <w:color w:val="auto"/>
                <w:sz w:val="18"/>
                <w:szCs w:val="24"/>
                <w:lang w:eastAsia="en-GB"/>
              </w:rPr>
              <w:t>%</w:t>
            </w:r>
            <w:r w:rsidRPr="004C7DB7">
              <w:rPr>
                <w:color w:val="auto"/>
                <w:sz w:val="18"/>
                <w:szCs w:val="24"/>
                <w:lang w:eastAsia="en-GB"/>
              </w:rPr>
              <w:t xml:space="preserve"> of institutions </w:t>
            </w:r>
            <w:r>
              <w:rPr>
                <w:color w:val="auto"/>
                <w:sz w:val="18"/>
                <w:szCs w:val="24"/>
                <w:lang w:eastAsia="en-GB"/>
              </w:rPr>
              <w:t>using the tools</w:t>
            </w:r>
          </w:p>
          <w:p w:rsidR="006544D5" w:rsidRDefault="006544D5" w:rsidP="00A77140">
            <w:pPr>
              <w:autoSpaceDE w:val="0"/>
              <w:autoSpaceDN w:val="0"/>
              <w:adjustRightInd w:val="0"/>
              <w:spacing w:before="0" w:line="280" w:lineRule="exact"/>
              <w:ind w:left="207"/>
              <w:rPr>
                <w:color w:val="auto"/>
                <w:sz w:val="18"/>
                <w:szCs w:val="24"/>
                <w:lang w:eastAsia="en-GB"/>
              </w:rPr>
            </w:pPr>
          </w:p>
          <w:p w:rsidR="006544D5" w:rsidRDefault="006544D5" w:rsidP="00A77140">
            <w:pPr>
              <w:autoSpaceDE w:val="0"/>
              <w:autoSpaceDN w:val="0"/>
              <w:adjustRightInd w:val="0"/>
              <w:spacing w:before="0" w:line="280" w:lineRule="exact"/>
              <w:ind w:left="207"/>
              <w:rPr>
                <w:color w:val="auto"/>
                <w:sz w:val="18"/>
                <w:szCs w:val="24"/>
                <w:lang w:eastAsia="en-GB"/>
              </w:rPr>
            </w:pPr>
          </w:p>
          <w:p w:rsidR="006544D5" w:rsidRDefault="006544D5" w:rsidP="008352D1">
            <w:pPr>
              <w:numPr>
                <w:ilvl w:val="0"/>
                <w:numId w:val="1"/>
              </w:numPr>
              <w:autoSpaceDE w:val="0"/>
              <w:autoSpaceDN w:val="0"/>
              <w:adjustRightInd w:val="0"/>
              <w:spacing w:before="0" w:line="280" w:lineRule="exact"/>
              <w:ind w:left="207" w:hanging="207"/>
              <w:rPr>
                <w:color w:val="auto"/>
                <w:sz w:val="18"/>
                <w:szCs w:val="24"/>
                <w:lang w:eastAsia="en-GB"/>
              </w:rPr>
            </w:pPr>
            <w:r w:rsidRPr="004C7DB7">
              <w:rPr>
                <w:color w:val="auto"/>
                <w:sz w:val="18"/>
                <w:szCs w:val="24"/>
                <w:lang w:eastAsia="en-GB"/>
              </w:rPr>
              <w:t>X of users of the internet platform for knowledge sharing</w:t>
            </w:r>
          </w:p>
          <w:p w:rsidR="006544D5" w:rsidRDefault="006544D5" w:rsidP="008352D1">
            <w:pPr>
              <w:numPr>
                <w:ilvl w:val="0"/>
                <w:numId w:val="1"/>
              </w:numPr>
              <w:autoSpaceDE w:val="0"/>
              <w:autoSpaceDN w:val="0"/>
              <w:adjustRightInd w:val="0"/>
              <w:spacing w:before="0" w:line="280" w:lineRule="exact"/>
              <w:ind w:left="207" w:hanging="207"/>
              <w:rPr>
                <w:color w:val="auto"/>
                <w:sz w:val="18"/>
                <w:szCs w:val="24"/>
                <w:lang w:eastAsia="en-GB"/>
              </w:rPr>
            </w:pPr>
            <w:r>
              <w:rPr>
                <w:color w:val="auto"/>
                <w:sz w:val="18"/>
                <w:szCs w:val="24"/>
                <w:lang w:eastAsia="en-GB"/>
              </w:rPr>
              <w:t xml:space="preserve">Number of trainings and seminars (incl % of </w:t>
            </w:r>
            <w:r>
              <w:rPr>
                <w:color w:val="auto"/>
                <w:sz w:val="18"/>
                <w:szCs w:val="24"/>
                <w:lang w:eastAsia="en-GB"/>
              </w:rPr>
              <w:lastRenderedPageBreak/>
              <w:t>satisfaction of participants)</w:t>
            </w:r>
          </w:p>
          <w:p w:rsidR="006544D5" w:rsidRPr="004C7DB7" w:rsidRDefault="006544D5" w:rsidP="008352D1">
            <w:pPr>
              <w:numPr>
                <w:ilvl w:val="0"/>
                <w:numId w:val="1"/>
              </w:numPr>
              <w:autoSpaceDE w:val="0"/>
              <w:autoSpaceDN w:val="0"/>
              <w:adjustRightInd w:val="0"/>
              <w:spacing w:before="0" w:line="280" w:lineRule="exact"/>
              <w:ind w:left="207" w:hanging="207"/>
              <w:rPr>
                <w:color w:val="auto"/>
                <w:sz w:val="18"/>
                <w:szCs w:val="24"/>
                <w:lang w:eastAsia="en-GB"/>
              </w:rPr>
            </w:pPr>
            <w:r>
              <w:rPr>
                <w:color w:val="auto"/>
                <w:sz w:val="18"/>
                <w:szCs w:val="24"/>
                <w:lang w:eastAsia="en-GB"/>
              </w:rPr>
              <w:t>Number of twinnings</w:t>
            </w:r>
          </w:p>
        </w:tc>
        <w:tc>
          <w:tcPr>
            <w:tcW w:w="1701" w:type="dxa"/>
            <w:shd w:val="clear" w:color="auto" w:fill="FFFFFF"/>
          </w:tcPr>
          <w:p w:rsidR="006544D5" w:rsidRPr="004C7DB7" w:rsidRDefault="006544D5" w:rsidP="00A77140">
            <w:pPr>
              <w:spacing w:before="0" w:line="280" w:lineRule="exact"/>
              <w:rPr>
                <w:color w:val="auto"/>
                <w:sz w:val="18"/>
                <w:szCs w:val="24"/>
                <w:lang w:eastAsia="en-GB"/>
              </w:rPr>
            </w:pPr>
            <w:r w:rsidRPr="004C7DB7">
              <w:rPr>
                <w:color w:val="auto"/>
                <w:sz w:val="18"/>
                <w:szCs w:val="24"/>
                <w:lang w:eastAsia="en-GB"/>
              </w:rPr>
              <w:lastRenderedPageBreak/>
              <w:t>0 at the beginning of the intervention</w:t>
            </w:r>
          </w:p>
          <w:p w:rsidR="006544D5" w:rsidRPr="004C7DB7" w:rsidRDefault="006544D5" w:rsidP="00A77140">
            <w:pPr>
              <w:spacing w:before="0" w:line="280" w:lineRule="exact"/>
              <w:rPr>
                <w:color w:val="auto"/>
                <w:sz w:val="18"/>
                <w:szCs w:val="24"/>
                <w:lang w:eastAsia="en-GB"/>
              </w:rPr>
            </w:pPr>
          </w:p>
          <w:p w:rsidR="006544D5" w:rsidRPr="004C7DB7" w:rsidRDefault="006544D5" w:rsidP="00A77140">
            <w:pPr>
              <w:spacing w:before="0" w:line="280" w:lineRule="exact"/>
              <w:rPr>
                <w:color w:val="auto"/>
                <w:sz w:val="18"/>
                <w:szCs w:val="24"/>
                <w:lang w:eastAsia="en-GB"/>
              </w:rPr>
            </w:pPr>
          </w:p>
          <w:p w:rsidR="006544D5" w:rsidRPr="004C7DB7" w:rsidRDefault="006544D5" w:rsidP="00A77140">
            <w:pPr>
              <w:spacing w:before="0" w:line="280" w:lineRule="exact"/>
              <w:rPr>
                <w:color w:val="auto"/>
                <w:sz w:val="18"/>
                <w:szCs w:val="24"/>
                <w:lang w:eastAsia="en-GB"/>
              </w:rPr>
            </w:pPr>
          </w:p>
          <w:p w:rsidR="006544D5" w:rsidRPr="004C7DB7" w:rsidRDefault="006544D5" w:rsidP="00A77140">
            <w:pPr>
              <w:spacing w:before="0" w:line="280" w:lineRule="exact"/>
              <w:rPr>
                <w:color w:val="auto"/>
                <w:sz w:val="18"/>
                <w:szCs w:val="24"/>
                <w:lang w:eastAsia="en-GB"/>
              </w:rPr>
            </w:pPr>
          </w:p>
          <w:p w:rsidR="006544D5" w:rsidRPr="004C7DB7" w:rsidRDefault="006544D5" w:rsidP="00A77140">
            <w:pPr>
              <w:spacing w:before="0" w:line="280" w:lineRule="exact"/>
              <w:rPr>
                <w:color w:val="auto"/>
                <w:sz w:val="18"/>
                <w:szCs w:val="24"/>
                <w:lang w:eastAsia="en-GB"/>
              </w:rPr>
            </w:pPr>
          </w:p>
        </w:tc>
        <w:tc>
          <w:tcPr>
            <w:tcW w:w="1559" w:type="dxa"/>
            <w:shd w:val="clear" w:color="auto" w:fill="FFFFFF"/>
          </w:tcPr>
          <w:p w:rsidR="006544D5" w:rsidRPr="004C7DB7" w:rsidRDefault="006544D5" w:rsidP="00A77140">
            <w:pPr>
              <w:spacing w:before="0" w:line="280" w:lineRule="exact"/>
              <w:rPr>
                <w:color w:val="auto"/>
                <w:sz w:val="18"/>
                <w:szCs w:val="24"/>
                <w:lang w:eastAsia="en-GB"/>
              </w:rPr>
            </w:pPr>
            <w:r w:rsidRPr="004C7DB7">
              <w:rPr>
                <w:color w:val="auto"/>
                <w:sz w:val="18"/>
                <w:szCs w:val="24"/>
                <w:lang w:eastAsia="en-GB"/>
              </w:rPr>
              <w:t>PMU reports</w:t>
            </w:r>
          </w:p>
          <w:p w:rsidR="006544D5" w:rsidRDefault="006544D5" w:rsidP="00A77140">
            <w:pPr>
              <w:spacing w:before="0" w:line="280" w:lineRule="exact"/>
              <w:rPr>
                <w:color w:val="auto"/>
                <w:sz w:val="18"/>
                <w:szCs w:val="24"/>
                <w:lang w:eastAsia="en-GB"/>
              </w:rPr>
            </w:pPr>
          </w:p>
          <w:p w:rsidR="006544D5" w:rsidRPr="004C7DB7" w:rsidRDefault="006544D5" w:rsidP="00A77140">
            <w:pPr>
              <w:spacing w:before="0" w:line="280" w:lineRule="exact"/>
              <w:rPr>
                <w:color w:val="auto"/>
                <w:sz w:val="18"/>
                <w:szCs w:val="24"/>
                <w:lang w:eastAsia="en-GB"/>
              </w:rPr>
            </w:pPr>
            <w:r w:rsidRPr="00CE6C9A">
              <w:rPr>
                <w:color w:val="auto"/>
                <w:sz w:val="18"/>
                <w:szCs w:val="24"/>
                <w:lang w:eastAsia="en-GB"/>
              </w:rPr>
              <w:t>Questionnaires for beneficiaries</w:t>
            </w:r>
          </w:p>
        </w:tc>
        <w:tc>
          <w:tcPr>
            <w:tcW w:w="2222" w:type="dxa"/>
            <w:shd w:val="clear" w:color="auto" w:fill="auto"/>
          </w:tcPr>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The private sector is sufficiently organised so as to be informed</w:t>
            </w:r>
            <w:r>
              <w:rPr>
                <w:color w:val="auto"/>
                <w:sz w:val="18"/>
                <w:szCs w:val="24"/>
                <w:lang w:eastAsia="en-GB"/>
              </w:rPr>
              <w:t xml:space="preserve"> and </w:t>
            </w:r>
            <w:r w:rsidRPr="004C7DB7">
              <w:rPr>
                <w:color w:val="auto"/>
                <w:sz w:val="18"/>
                <w:szCs w:val="24"/>
                <w:lang w:eastAsia="en-GB"/>
              </w:rPr>
              <w:t>represent</w:t>
            </w:r>
            <w:r>
              <w:rPr>
                <w:color w:val="auto"/>
                <w:sz w:val="18"/>
                <w:szCs w:val="24"/>
                <w:lang w:eastAsia="en-GB"/>
              </w:rPr>
              <w:t xml:space="preserve">ative when </w:t>
            </w:r>
            <w:r w:rsidRPr="004C7DB7">
              <w:rPr>
                <w:color w:val="auto"/>
                <w:sz w:val="18"/>
                <w:szCs w:val="24"/>
                <w:lang w:eastAsia="en-GB"/>
              </w:rPr>
              <w:t>participat</w:t>
            </w:r>
            <w:r>
              <w:rPr>
                <w:color w:val="auto"/>
                <w:sz w:val="18"/>
                <w:szCs w:val="24"/>
                <w:lang w:eastAsia="en-GB"/>
              </w:rPr>
              <w:t>ing</w:t>
            </w:r>
            <w:r w:rsidRPr="004C7DB7">
              <w:rPr>
                <w:color w:val="auto"/>
                <w:sz w:val="18"/>
                <w:szCs w:val="24"/>
                <w:lang w:eastAsia="en-GB"/>
              </w:rPr>
              <w:t xml:space="preserve"> in VET</w:t>
            </w:r>
            <w:r>
              <w:rPr>
                <w:color w:val="auto"/>
                <w:sz w:val="18"/>
                <w:szCs w:val="24"/>
                <w:lang w:eastAsia="en-GB"/>
              </w:rPr>
              <w:t xml:space="preserve"> governance</w:t>
            </w:r>
            <w:r w:rsidRPr="004C7DB7">
              <w:rPr>
                <w:color w:val="auto"/>
                <w:sz w:val="18"/>
                <w:szCs w:val="24"/>
                <w:lang w:eastAsia="en-GB"/>
              </w:rPr>
              <w:t>.</w:t>
            </w:r>
          </w:p>
          <w:p w:rsidR="006544D5" w:rsidRPr="004C7DB7" w:rsidRDefault="006544D5" w:rsidP="00A77140">
            <w:pPr>
              <w:autoSpaceDE w:val="0"/>
              <w:autoSpaceDN w:val="0"/>
              <w:adjustRightInd w:val="0"/>
              <w:spacing w:before="0" w:line="280" w:lineRule="exact"/>
              <w:rPr>
                <w:color w:val="auto"/>
                <w:sz w:val="18"/>
                <w:szCs w:val="24"/>
                <w:lang w:eastAsia="en-GB"/>
              </w:rPr>
            </w:pPr>
          </w:p>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 xml:space="preserve">Stakeholders are able to access, develop and </w:t>
            </w:r>
            <w:r w:rsidRPr="004C7DB7">
              <w:rPr>
                <w:color w:val="auto"/>
                <w:sz w:val="18"/>
                <w:szCs w:val="24"/>
                <w:lang w:eastAsia="en-GB"/>
              </w:rPr>
              <w:lastRenderedPageBreak/>
              <w:t>utilise the tools and support mechanisms</w:t>
            </w:r>
          </w:p>
        </w:tc>
      </w:tr>
      <w:tr w:rsidR="006544D5" w:rsidRPr="004C7DB7" w:rsidTr="006544D5">
        <w:trPr>
          <w:trHeight w:val="1416"/>
          <w:jc w:val="center"/>
        </w:trPr>
        <w:tc>
          <w:tcPr>
            <w:tcW w:w="779" w:type="dxa"/>
            <w:shd w:val="clear" w:color="auto" w:fill="D9D9D9"/>
            <w:textDirection w:val="btLr"/>
          </w:tcPr>
          <w:p w:rsidR="006544D5" w:rsidRPr="004C7DB7" w:rsidRDefault="006544D5" w:rsidP="00A77140">
            <w:pPr>
              <w:tabs>
                <w:tab w:val="left" w:pos="0"/>
                <w:tab w:val="left" w:pos="132"/>
              </w:tabs>
              <w:spacing w:before="0" w:line="280" w:lineRule="exact"/>
              <w:ind w:left="113" w:right="113" w:hanging="101"/>
              <w:jc w:val="right"/>
              <w:rPr>
                <w:b/>
                <w:color w:val="auto"/>
                <w:sz w:val="18"/>
                <w:szCs w:val="24"/>
                <w:lang w:eastAsia="en-GB"/>
              </w:rPr>
            </w:pPr>
            <w:r w:rsidRPr="004C7DB7">
              <w:rPr>
                <w:b/>
                <w:color w:val="auto"/>
                <w:sz w:val="18"/>
                <w:szCs w:val="24"/>
                <w:lang w:eastAsia="en-GB"/>
              </w:rPr>
              <w:lastRenderedPageBreak/>
              <w:t>Outputs</w:t>
            </w:r>
          </w:p>
        </w:tc>
        <w:tc>
          <w:tcPr>
            <w:tcW w:w="3147" w:type="dxa"/>
            <w:shd w:val="clear" w:color="auto" w:fill="FFFFFF"/>
          </w:tcPr>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 xml:space="preserve">Result 3. Local stakeholders are </w:t>
            </w:r>
            <w:r w:rsidRPr="00793A95">
              <w:rPr>
                <w:color w:val="auto"/>
                <w:sz w:val="18"/>
                <w:szCs w:val="24"/>
                <w:lang w:eastAsia="en-GB"/>
              </w:rPr>
              <w:t>capacitated</w:t>
            </w:r>
            <w:r w:rsidRPr="004C7DB7">
              <w:rPr>
                <w:color w:val="auto"/>
                <w:sz w:val="18"/>
                <w:szCs w:val="24"/>
                <w:lang w:eastAsia="en-GB"/>
              </w:rPr>
              <w:t xml:space="preserve"> in promoting inclusive VET training for the formal and informal sector</w:t>
            </w:r>
          </w:p>
        </w:tc>
        <w:tc>
          <w:tcPr>
            <w:tcW w:w="2410" w:type="dxa"/>
            <w:shd w:val="clear" w:color="auto" w:fill="FFFFFF"/>
          </w:tcPr>
          <w:p w:rsidR="006544D5" w:rsidRPr="004C7DB7" w:rsidRDefault="006544D5" w:rsidP="008352D1">
            <w:pPr>
              <w:numPr>
                <w:ilvl w:val="0"/>
                <w:numId w:val="1"/>
              </w:numPr>
              <w:autoSpaceDE w:val="0"/>
              <w:autoSpaceDN w:val="0"/>
              <w:adjustRightInd w:val="0"/>
              <w:spacing w:before="0" w:line="280" w:lineRule="exact"/>
              <w:ind w:left="207" w:hanging="207"/>
              <w:rPr>
                <w:color w:val="auto"/>
                <w:sz w:val="18"/>
                <w:szCs w:val="24"/>
                <w:lang w:eastAsia="en-GB"/>
              </w:rPr>
            </w:pPr>
            <w:r>
              <w:rPr>
                <w:color w:val="auto"/>
                <w:sz w:val="18"/>
                <w:szCs w:val="24"/>
                <w:lang w:eastAsia="en-GB"/>
              </w:rPr>
              <w:t xml:space="preserve">number of </w:t>
            </w:r>
            <w:r w:rsidRPr="004C7DB7">
              <w:rPr>
                <w:color w:val="auto"/>
                <w:sz w:val="18"/>
                <w:szCs w:val="24"/>
                <w:lang w:eastAsia="en-GB"/>
              </w:rPr>
              <w:t>partner countries</w:t>
            </w:r>
            <w:r>
              <w:rPr>
                <w:color w:val="auto"/>
                <w:sz w:val="18"/>
                <w:szCs w:val="24"/>
                <w:lang w:eastAsia="en-GB"/>
              </w:rPr>
              <w:t xml:space="preserve"> that received tools and support</w:t>
            </w:r>
            <w:r w:rsidRPr="004C7DB7">
              <w:rPr>
                <w:color w:val="auto"/>
                <w:sz w:val="18"/>
                <w:szCs w:val="24"/>
                <w:lang w:eastAsia="en-GB"/>
              </w:rPr>
              <w:t xml:space="preserve"> </w:t>
            </w:r>
          </w:p>
          <w:p w:rsidR="006544D5" w:rsidRDefault="006544D5" w:rsidP="008352D1">
            <w:pPr>
              <w:numPr>
                <w:ilvl w:val="0"/>
                <w:numId w:val="1"/>
              </w:numPr>
              <w:autoSpaceDE w:val="0"/>
              <w:autoSpaceDN w:val="0"/>
              <w:adjustRightInd w:val="0"/>
              <w:spacing w:before="0" w:line="280" w:lineRule="exact"/>
              <w:ind w:left="207" w:hanging="207"/>
              <w:rPr>
                <w:color w:val="auto"/>
                <w:sz w:val="18"/>
                <w:szCs w:val="24"/>
                <w:lang w:eastAsia="en-GB"/>
              </w:rPr>
            </w:pPr>
            <w:r>
              <w:rPr>
                <w:color w:val="auto"/>
                <w:sz w:val="18"/>
                <w:szCs w:val="24"/>
                <w:lang w:eastAsia="en-GB"/>
              </w:rPr>
              <w:t xml:space="preserve">Number of </w:t>
            </w:r>
            <w:r w:rsidRPr="004C7DB7">
              <w:rPr>
                <w:color w:val="auto"/>
                <w:sz w:val="18"/>
                <w:szCs w:val="24"/>
                <w:lang w:eastAsia="en-GB"/>
              </w:rPr>
              <w:t xml:space="preserve">expertise days provided </w:t>
            </w:r>
            <w:r>
              <w:rPr>
                <w:color w:val="auto"/>
                <w:sz w:val="18"/>
                <w:szCs w:val="24"/>
                <w:lang w:eastAsia="en-GB"/>
              </w:rPr>
              <w:t>on inclusiveness</w:t>
            </w:r>
          </w:p>
          <w:p w:rsidR="006544D5" w:rsidRPr="004C7DB7" w:rsidRDefault="006544D5" w:rsidP="008352D1">
            <w:pPr>
              <w:numPr>
                <w:ilvl w:val="0"/>
                <w:numId w:val="1"/>
              </w:numPr>
              <w:autoSpaceDE w:val="0"/>
              <w:autoSpaceDN w:val="0"/>
              <w:adjustRightInd w:val="0"/>
              <w:spacing w:before="0" w:line="280" w:lineRule="exact"/>
              <w:ind w:left="207" w:hanging="207"/>
              <w:rPr>
                <w:color w:val="auto"/>
                <w:sz w:val="18"/>
                <w:szCs w:val="24"/>
                <w:lang w:eastAsia="en-GB"/>
              </w:rPr>
            </w:pPr>
            <w:r>
              <w:rPr>
                <w:color w:val="auto"/>
                <w:sz w:val="18"/>
                <w:szCs w:val="24"/>
                <w:lang w:eastAsia="en-GB"/>
              </w:rPr>
              <w:t>Satisfaction of tools and expertise by beneficiary</w:t>
            </w:r>
          </w:p>
          <w:p w:rsidR="006544D5" w:rsidRPr="004C7DB7" w:rsidRDefault="006544D5" w:rsidP="00A77140">
            <w:pPr>
              <w:autoSpaceDE w:val="0"/>
              <w:autoSpaceDN w:val="0"/>
              <w:adjustRightInd w:val="0"/>
              <w:spacing w:before="0" w:line="280" w:lineRule="exact"/>
              <w:ind w:left="207"/>
              <w:rPr>
                <w:color w:val="auto"/>
                <w:sz w:val="18"/>
                <w:szCs w:val="24"/>
                <w:lang w:eastAsia="en-GB"/>
              </w:rPr>
            </w:pPr>
          </w:p>
          <w:p w:rsidR="006544D5" w:rsidRPr="004C7DB7" w:rsidRDefault="006544D5" w:rsidP="00A77140">
            <w:pPr>
              <w:autoSpaceDE w:val="0"/>
              <w:autoSpaceDN w:val="0"/>
              <w:adjustRightInd w:val="0"/>
              <w:spacing w:before="0" w:line="280" w:lineRule="exact"/>
              <w:ind w:left="207"/>
              <w:rPr>
                <w:color w:val="auto"/>
                <w:sz w:val="18"/>
                <w:szCs w:val="24"/>
                <w:lang w:eastAsia="en-GB"/>
              </w:rPr>
            </w:pPr>
          </w:p>
        </w:tc>
        <w:tc>
          <w:tcPr>
            <w:tcW w:w="1701" w:type="dxa"/>
            <w:shd w:val="clear" w:color="auto" w:fill="FFFFFF"/>
          </w:tcPr>
          <w:p w:rsidR="006544D5" w:rsidRPr="004C7DB7" w:rsidRDefault="006544D5" w:rsidP="00A77140">
            <w:pPr>
              <w:spacing w:before="0" w:line="280" w:lineRule="exact"/>
              <w:rPr>
                <w:color w:val="auto"/>
                <w:sz w:val="18"/>
                <w:szCs w:val="24"/>
                <w:lang w:eastAsia="en-GB"/>
              </w:rPr>
            </w:pPr>
            <w:r w:rsidRPr="004C7DB7">
              <w:rPr>
                <w:color w:val="auto"/>
                <w:sz w:val="18"/>
                <w:szCs w:val="24"/>
                <w:lang w:eastAsia="en-GB"/>
              </w:rPr>
              <w:t xml:space="preserve">0 at the beginning of the intervention </w:t>
            </w:r>
          </w:p>
          <w:p w:rsidR="006544D5" w:rsidRPr="004C7DB7" w:rsidRDefault="006544D5" w:rsidP="00A77140">
            <w:pPr>
              <w:spacing w:before="0" w:line="280" w:lineRule="exact"/>
              <w:rPr>
                <w:color w:val="auto"/>
                <w:sz w:val="18"/>
                <w:szCs w:val="24"/>
                <w:lang w:eastAsia="en-GB"/>
              </w:rPr>
            </w:pPr>
          </w:p>
          <w:p w:rsidR="006544D5" w:rsidRPr="004C7DB7" w:rsidRDefault="006544D5" w:rsidP="00A77140">
            <w:pPr>
              <w:spacing w:before="0" w:line="280" w:lineRule="exact"/>
              <w:rPr>
                <w:color w:val="auto"/>
                <w:sz w:val="18"/>
                <w:szCs w:val="24"/>
                <w:lang w:eastAsia="en-GB"/>
              </w:rPr>
            </w:pPr>
          </w:p>
        </w:tc>
        <w:tc>
          <w:tcPr>
            <w:tcW w:w="1559" w:type="dxa"/>
            <w:shd w:val="clear" w:color="auto" w:fill="FFFFFF"/>
          </w:tcPr>
          <w:p w:rsidR="006544D5" w:rsidRDefault="006544D5" w:rsidP="00A77140">
            <w:pPr>
              <w:spacing w:before="0" w:line="280" w:lineRule="exact"/>
              <w:rPr>
                <w:color w:val="auto"/>
                <w:sz w:val="18"/>
                <w:szCs w:val="24"/>
                <w:lang w:eastAsia="en-GB"/>
              </w:rPr>
            </w:pPr>
            <w:r w:rsidRPr="004C7DB7">
              <w:rPr>
                <w:color w:val="auto"/>
                <w:sz w:val="18"/>
                <w:szCs w:val="24"/>
                <w:lang w:eastAsia="en-GB"/>
              </w:rPr>
              <w:t>PMU reports</w:t>
            </w:r>
          </w:p>
          <w:p w:rsidR="006544D5" w:rsidRDefault="006544D5" w:rsidP="00A77140">
            <w:pPr>
              <w:spacing w:before="0" w:line="280" w:lineRule="exact"/>
              <w:rPr>
                <w:color w:val="auto"/>
                <w:sz w:val="18"/>
                <w:szCs w:val="24"/>
                <w:lang w:eastAsia="en-GB"/>
              </w:rPr>
            </w:pPr>
          </w:p>
          <w:p w:rsidR="006544D5" w:rsidRPr="004C7DB7" w:rsidRDefault="006544D5" w:rsidP="00A77140">
            <w:pPr>
              <w:spacing w:before="0" w:line="280" w:lineRule="exact"/>
              <w:rPr>
                <w:color w:val="auto"/>
                <w:sz w:val="18"/>
                <w:szCs w:val="24"/>
                <w:lang w:eastAsia="en-GB"/>
              </w:rPr>
            </w:pPr>
            <w:r w:rsidRPr="00CE6C9A">
              <w:rPr>
                <w:color w:val="auto"/>
                <w:sz w:val="18"/>
                <w:szCs w:val="24"/>
                <w:lang w:eastAsia="en-GB"/>
              </w:rPr>
              <w:t>Questionnaires for beneficiaries</w:t>
            </w:r>
          </w:p>
        </w:tc>
        <w:tc>
          <w:tcPr>
            <w:tcW w:w="2222" w:type="dxa"/>
            <w:shd w:val="clear" w:color="auto" w:fill="auto"/>
          </w:tcPr>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 xml:space="preserve">The governments in the target countries recognise their responsibility for an inclusive VET system and the importance of the informal sector as an important source of employment and business opportunities </w:t>
            </w:r>
          </w:p>
        </w:tc>
      </w:tr>
      <w:tr w:rsidR="006544D5" w:rsidRPr="004C7DB7" w:rsidTr="006544D5">
        <w:trPr>
          <w:trHeight w:val="557"/>
          <w:jc w:val="center"/>
        </w:trPr>
        <w:tc>
          <w:tcPr>
            <w:tcW w:w="779" w:type="dxa"/>
            <w:shd w:val="clear" w:color="auto" w:fill="D9D9D9"/>
            <w:textDirection w:val="btLr"/>
          </w:tcPr>
          <w:p w:rsidR="006544D5" w:rsidRPr="004C7DB7" w:rsidRDefault="006544D5" w:rsidP="00A77140">
            <w:pPr>
              <w:tabs>
                <w:tab w:val="left" w:pos="0"/>
                <w:tab w:val="left" w:pos="132"/>
              </w:tabs>
              <w:spacing w:before="0" w:line="280" w:lineRule="exact"/>
              <w:ind w:left="113" w:right="113" w:hanging="101"/>
              <w:jc w:val="right"/>
              <w:rPr>
                <w:b/>
                <w:color w:val="auto"/>
                <w:sz w:val="18"/>
                <w:szCs w:val="24"/>
                <w:lang w:eastAsia="en-GB"/>
              </w:rPr>
            </w:pPr>
            <w:r w:rsidRPr="004C7DB7">
              <w:rPr>
                <w:b/>
                <w:color w:val="auto"/>
                <w:sz w:val="18"/>
                <w:szCs w:val="24"/>
                <w:lang w:eastAsia="en-GB"/>
              </w:rPr>
              <w:t>Outputs</w:t>
            </w:r>
          </w:p>
        </w:tc>
        <w:tc>
          <w:tcPr>
            <w:tcW w:w="3147" w:type="dxa"/>
            <w:shd w:val="clear" w:color="auto" w:fill="FFFFFF"/>
          </w:tcPr>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Result 4. Methodologies and approaches to support the integration of disadvantaged groups into VET learning and into the labour market are piloted</w:t>
            </w:r>
          </w:p>
        </w:tc>
        <w:tc>
          <w:tcPr>
            <w:tcW w:w="2410" w:type="dxa"/>
            <w:shd w:val="clear" w:color="auto" w:fill="FFFFFF"/>
          </w:tcPr>
          <w:p w:rsidR="006544D5" w:rsidRPr="004C7DB7" w:rsidRDefault="006544D5" w:rsidP="008352D1">
            <w:pPr>
              <w:numPr>
                <w:ilvl w:val="0"/>
                <w:numId w:val="2"/>
              </w:numPr>
              <w:autoSpaceDE w:val="0"/>
              <w:autoSpaceDN w:val="0"/>
              <w:adjustRightInd w:val="0"/>
              <w:spacing w:before="0" w:line="280" w:lineRule="exact"/>
              <w:ind w:left="207" w:hanging="142"/>
              <w:rPr>
                <w:color w:val="auto"/>
                <w:sz w:val="18"/>
                <w:szCs w:val="24"/>
                <w:lang w:eastAsia="en-GB"/>
              </w:rPr>
            </w:pPr>
            <w:r w:rsidRPr="004C7DB7">
              <w:rPr>
                <w:color w:val="auto"/>
                <w:sz w:val="18"/>
                <w:szCs w:val="24"/>
                <w:lang w:eastAsia="en-GB"/>
              </w:rPr>
              <w:t>Call for proposals on the integration of disadvantaged groups in VET and labour market launched</w:t>
            </w:r>
          </w:p>
          <w:p w:rsidR="006544D5" w:rsidRDefault="006544D5" w:rsidP="008352D1">
            <w:pPr>
              <w:numPr>
                <w:ilvl w:val="0"/>
                <w:numId w:val="2"/>
              </w:numPr>
              <w:autoSpaceDE w:val="0"/>
              <w:autoSpaceDN w:val="0"/>
              <w:adjustRightInd w:val="0"/>
              <w:spacing w:before="0" w:line="280" w:lineRule="exact"/>
              <w:ind w:left="207" w:hanging="142"/>
              <w:rPr>
                <w:color w:val="auto"/>
                <w:sz w:val="18"/>
                <w:szCs w:val="24"/>
                <w:lang w:eastAsia="en-GB"/>
              </w:rPr>
            </w:pPr>
            <w:r>
              <w:rPr>
                <w:color w:val="auto"/>
                <w:sz w:val="18"/>
                <w:szCs w:val="24"/>
                <w:lang w:eastAsia="en-GB"/>
              </w:rPr>
              <w:t>number of</w:t>
            </w:r>
            <w:r w:rsidRPr="004C7DB7">
              <w:rPr>
                <w:color w:val="auto"/>
                <w:sz w:val="18"/>
                <w:szCs w:val="24"/>
                <w:lang w:eastAsia="en-GB"/>
              </w:rPr>
              <w:t xml:space="preserve"> pilot projects to support the integration of disadvantaged groups in VET and labour market</w:t>
            </w:r>
          </w:p>
          <w:p w:rsidR="006544D5" w:rsidRPr="004C7DB7" w:rsidRDefault="006544D5" w:rsidP="008352D1">
            <w:pPr>
              <w:numPr>
                <w:ilvl w:val="0"/>
                <w:numId w:val="2"/>
              </w:numPr>
              <w:autoSpaceDE w:val="0"/>
              <w:autoSpaceDN w:val="0"/>
              <w:adjustRightInd w:val="0"/>
              <w:spacing w:before="0" w:line="280" w:lineRule="exact"/>
              <w:ind w:left="207" w:hanging="142"/>
              <w:rPr>
                <w:color w:val="auto"/>
                <w:sz w:val="18"/>
                <w:szCs w:val="24"/>
                <w:lang w:eastAsia="en-GB"/>
              </w:rPr>
            </w:pPr>
            <w:r>
              <w:rPr>
                <w:color w:val="auto"/>
                <w:sz w:val="18"/>
                <w:szCs w:val="24"/>
                <w:lang w:eastAsia="en-GB"/>
              </w:rPr>
              <w:t>Number of vulnerable groups and women benefiting from the pilot projects</w:t>
            </w:r>
          </w:p>
        </w:tc>
        <w:tc>
          <w:tcPr>
            <w:tcW w:w="1701" w:type="dxa"/>
            <w:shd w:val="clear" w:color="auto" w:fill="FFFFFF"/>
          </w:tcPr>
          <w:p w:rsidR="006544D5" w:rsidRPr="004C7DB7" w:rsidRDefault="006544D5" w:rsidP="00A77140">
            <w:pPr>
              <w:spacing w:before="0" w:line="280" w:lineRule="exact"/>
              <w:rPr>
                <w:color w:val="auto"/>
                <w:sz w:val="18"/>
                <w:szCs w:val="24"/>
                <w:lang w:eastAsia="en-GB"/>
              </w:rPr>
            </w:pPr>
            <w:r w:rsidRPr="004C7DB7">
              <w:rPr>
                <w:color w:val="auto"/>
                <w:sz w:val="18"/>
                <w:szCs w:val="24"/>
                <w:lang w:eastAsia="en-GB"/>
              </w:rPr>
              <w:t>0 at the beginning of the intervention</w:t>
            </w:r>
          </w:p>
          <w:p w:rsidR="006544D5" w:rsidRPr="004C7DB7" w:rsidRDefault="006544D5" w:rsidP="00A77140">
            <w:pPr>
              <w:spacing w:before="0" w:line="280" w:lineRule="exact"/>
              <w:rPr>
                <w:color w:val="auto"/>
                <w:sz w:val="18"/>
                <w:szCs w:val="24"/>
                <w:lang w:eastAsia="en-GB"/>
              </w:rPr>
            </w:pPr>
          </w:p>
          <w:p w:rsidR="006544D5" w:rsidRPr="004C7DB7" w:rsidRDefault="006544D5" w:rsidP="00A77140">
            <w:pPr>
              <w:spacing w:before="0" w:line="280" w:lineRule="exact"/>
              <w:rPr>
                <w:color w:val="auto"/>
                <w:sz w:val="18"/>
                <w:szCs w:val="24"/>
                <w:lang w:eastAsia="en-GB"/>
              </w:rPr>
            </w:pPr>
          </w:p>
          <w:p w:rsidR="006544D5" w:rsidRPr="004C7DB7" w:rsidRDefault="006544D5" w:rsidP="00A77140">
            <w:pPr>
              <w:spacing w:before="0" w:line="280" w:lineRule="exact"/>
              <w:rPr>
                <w:color w:val="auto"/>
                <w:sz w:val="18"/>
                <w:szCs w:val="24"/>
                <w:lang w:eastAsia="en-GB"/>
              </w:rPr>
            </w:pPr>
          </w:p>
        </w:tc>
        <w:tc>
          <w:tcPr>
            <w:tcW w:w="1559" w:type="dxa"/>
            <w:shd w:val="clear" w:color="auto" w:fill="FFFFFF"/>
          </w:tcPr>
          <w:p w:rsidR="006544D5" w:rsidRDefault="006544D5" w:rsidP="00A77140">
            <w:pPr>
              <w:spacing w:before="0" w:line="280" w:lineRule="exact"/>
              <w:rPr>
                <w:color w:val="auto"/>
                <w:sz w:val="18"/>
                <w:szCs w:val="24"/>
                <w:lang w:eastAsia="en-GB"/>
              </w:rPr>
            </w:pPr>
            <w:r>
              <w:rPr>
                <w:color w:val="auto"/>
                <w:sz w:val="18"/>
                <w:szCs w:val="24"/>
                <w:lang w:eastAsia="en-GB"/>
              </w:rPr>
              <w:t>PMU Reports</w:t>
            </w:r>
          </w:p>
          <w:p w:rsidR="006544D5" w:rsidRDefault="006544D5" w:rsidP="00A77140">
            <w:pPr>
              <w:spacing w:before="0" w:line="280" w:lineRule="exact"/>
              <w:rPr>
                <w:color w:val="auto"/>
                <w:sz w:val="18"/>
                <w:szCs w:val="24"/>
                <w:lang w:eastAsia="en-GB"/>
              </w:rPr>
            </w:pPr>
          </w:p>
          <w:p w:rsidR="006544D5" w:rsidRDefault="006544D5" w:rsidP="00A77140">
            <w:pPr>
              <w:spacing w:before="0" w:line="280" w:lineRule="exact"/>
              <w:rPr>
                <w:color w:val="auto"/>
                <w:sz w:val="18"/>
                <w:szCs w:val="24"/>
                <w:lang w:eastAsia="en-GB"/>
              </w:rPr>
            </w:pPr>
          </w:p>
          <w:p w:rsidR="006544D5" w:rsidRDefault="006544D5" w:rsidP="00A77140">
            <w:pPr>
              <w:spacing w:before="0" w:line="280" w:lineRule="exact"/>
              <w:rPr>
                <w:color w:val="auto"/>
                <w:sz w:val="18"/>
                <w:szCs w:val="24"/>
                <w:lang w:eastAsia="en-GB"/>
              </w:rPr>
            </w:pPr>
          </w:p>
          <w:p w:rsidR="006544D5" w:rsidRDefault="006544D5" w:rsidP="00A77140">
            <w:pPr>
              <w:spacing w:before="0" w:line="280" w:lineRule="exact"/>
              <w:rPr>
                <w:color w:val="auto"/>
                <w:sz w:val="18"/>
                <w:szCs w:val="24"/>
                <w:lang w:eastAsia="en-GB"/>
              </w:rPr>
            </w:pPr>
          </w:p>
          <w:p w:rsidR="006544D5" w:rsidRDefault="006544D5" w:rsidP="00A77140">
            <w:pPr>
              <w:spacing w:before="0" w:line="280" w:lineRule="exact"/>
              <w:rPr>
                <w:color w:val="auto"/>
                <w:sz w:val="18"/>
                <w:szCs w:val="24"/>
                <w:lang w:eastAsia="en-GB"/>
              </w:rPr>
            </w:pPr>
          </w:p>
          <w:p w:rsidR="006544D5" w:rsidRDefault="006544D5" w:rsidP="00A77140">
            <w:pPr>
              <w:spacing w:before="0" w:line="280" w:lineRule="exact"/>
              <w:rPr>
                <w:color w:val="auto"/>
                <w:sz w:val="18"/>
                <w:szCs w:val="24"/>
                <w:lang w:eastAsia="en-GB"/>
              </w:rPr>
            </w:pPr>
          </w:p>
          <w:p w:rsidR="006544D5" w:rsidRDefault="006544D5" w:rsidP="00A77140">
            <w:pPr>
              <w:spacing w:before="0" w:line="280" w:lineRule="exact"/>
              <w:rPr>
                <w:color w:val="auto"/>
                <w:sz w:val="18"/>
                <w:szCs w:val="24"/>
                <w:lang w:eastAsia="en-GB"/>
              </w:rPr>
            </w:pPr>
          </w:p>
          <w:p w:rsidR="006544D5" w:rsidRDefault="006544D5" w:rsidP="00A77140">
            <w:pPr>
              <w:spacing w:before="0" w:line="280" w:lineRule="exact"/>
              <w:rPr>
                <w:color w:val="auto"/>
                <w:sz w:val="18"/>
                <w:szCs w:val="24"/>
                <w:lang w:eastAsia="en-GB"/>
              </w:rPr>
            </w:pPr>
          </w:p>
          <w:p w:rsidR="006544D5" w:rsidRDefault="006544D5" w:rsidP="00A77140">
            <w:pPr>
              <w:spacing w:before="0" w:line="280" w:lineRule="exact"/>
              <w:rPr>
                <w:color w:val="auto"/>
                <w:sz w:val="18"/>
                <w:szCs w:val="24"/>
                <w:lang w:eastAsia="en-GB"/>
              </w:rPr>
            </w:pPr>
          </w:p>
          <w:p w:rsidR="006544D5" w:rsidRDefault="006544D5" w:rsidP="00A77140">
            <w:pPr>
              <w:spacing w:before="0" w:line="280" w:lineRule="exact"/>
              <w:rPr>
                <w:color w:val="auto"/>
                <w:sz w:val="18"/>
                <w:szCs w:val="24"/>
                <w:lang w:eastAsia="en-GB"/>
              </w:rPr>
            </w:pPr>
            <w:r>
              <w:rPr>
                <w:color w:val="auto"/>
                <w:sz w:val="18"/>
                <w:szCs w:val="24"/>
                <w:lang w:eastAsia="en-GB"/>
              </w:rPr>
              <w:t>Reporting by CfP implementers</w:t>
            </w:r>
          </w:p>
          <w:p w:rsidR="006544D5" w:rsidRPr="004C7DB7" w:rsidRDefault="006544D5" w:rsidP="00A77140">
            <w:pPr>
              <w:spacing w:before="0" w:line="280" w:lineRule="exact"/>
              <w:rPr>
                <w:color w:val="auto"/>
                <w:sz w:val="18"/>
                <w:szCs w:val="24"/>
                <w:lang w:eastAsia="en-GB"/>
              </w:rPr>
            </w:pPr>
            <w:r>
              <w:rPr>
                <w:color w:val="auto"/>
                <w:sz w:val="18"/>
                <w:szCs w:val="24"/>
                <w:lang w:eastAsia="en-GB"/>
              </w:rPr>
              <w:t>PMU Reports</w:t>
            </w:r>
          </w:p>
        </w:tc>
        <w:tc>
          <w:tcPr>
            <w:tcW w:w="2222" w:type="dxa"/>
            <w:shd w:val="clear" w:color="auto" w:fill="auto"/>
          </w:tcPr>
          <w:p w:rsidR="006544D5" w:rsidRPr="004C7DB7" w:rsidRDefault="006544D5" w:rsidP="00A77140">
            <w:pPr>
              <w:autoSpaceDE w:val="0"/>
              <w:autoSpaceDN w:val="0"/>
              <w:adjustRightInd w:val="0"/>
              <w:spacing w:before="0" w:line="280" w:lineRule="exact"/>
              <w:rPr>
                <w:color w:val="auto"/>
                <w:sz w:val="18"/>
                <w:szCs w:val="24"/>
                <w:lang w:eastAsia="en-GB"/>
              </w:rPr>
            </w:pPr>
            <w:r w:rsidRPr="004C7DB7">
              <w:rPr>
                <w:color w:val="auto"/>
                <w:sz w:val="18"/>
                <w:szCs w:val="24"/>
                <w:lang w:eastAsia="en-GB"/>
              </w:rPr>
              <w:t xml:space="preserve">Local stakeholders show the willingness to include disadvantaged groups into VET and </w:t>
            </w:r>
            <w:r>
              <w:rPr>
                <w:color w:val="auto"/>
                <w:sz w:val="18"/>
                <w:szCs w:val="24"/>
                <w:lang w:eastAsia="en-GB"/>
              </w:rPr>
              <w:t xml:space="preserve">the </w:t>
            </w:r>
            <w:r w:rsidRPr="004C7DB7">
              <w:rPr>
                <w:color w:val="auto"/>
                <w:sz w:val="18"/>
                <w:szCs w:val="24"/>
                <w:lang w:eastAsia="en-GB"/>
              </w:rPr>
              <w:t>labour market</w:t>
            </w:r>
          </w:p>
          <w:p w:rsidR="006544D5" w:rsidRPr="004C7DB7" w:rsidRDefault="006544D5" w:rsidP="00A77140">
            <w:pPr>
              <w:autoSpaceDE w:val="0"/>
              <w:autoSpaceDN w:val="0"/>
              <w:adjustRightInd w:val="0"/>
              <w:spacing w:before="0" w:line="280" w:lineRule="exact"/>
              <w:rPr>
                <w:color w:val="auto"/>
                <w:sz w:val="18"/>
                <w:szCs w:val="24"/>
                <w:lang w:eastAsia="en-GB"/>
              </w:rPr>
            </w:pPr>
          </w:p>
        </w:tc>
      </w:tr>
    </w:tbl>
    <w:p w:rsidR="00987E59" w:rsidRPr="00DF3C58" w:rsidRDefault="00987E59"/>
    <w:sectPr w:rsidR="00987E59" w:rsidRPr="00DF3C58" w:rsidSect="00943FEC">
      <w:footerReference w:type="default" r:id="rId8"/>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2D1" w:rsidRDefault="008352D1" w:rsidP="008352D1">
      <w:pPr>
        <w:spacing w:before="0"/>
      </w:pPr>
      <w:r>
        <w:separator/>
      </w:r>
    </w:p>
  </w:endnote>
  <w:endnote w:type="continuationSeparator" w:id="0">
    <w:p w:rsidR="008352D1" w:rsidRDefault="008352D1" w:rsidP="008352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433469"/>
      <w:docPartObj>
        <w:docPartGallery w:val="Page Numbers (Bottom of Page)"/>
        <w:docPartUnique/>
      </w:docPartObj>
    </w:sdtPr>
    <w:sdtEndPr>
      <w:rPr>
        <w:noProof/>
      </w:rPr>
    </w:sdtEndPr>
    <w:sdtContent>
      <w:p w:rsidR="00943FEC" w:rsidRDefault="00943FEC">
        <w:pPr>
          <w:pStyle w:val="Footer"/>
          <w:jc w:val="right"/>
        </w:pPr>
        <w:r>
          <w:fldChar w:fldCharType="begin"/>
        </w:r>
        <w:r>
          <w:instrText xml:space="preserve"> PAGE   \* MERGEFORMAT </w:instrText>
        </w:r>
        <w:r>
          <w:fldChar w:fldCharType="separate"/>
        </w:r>
        <w:r w:rsidR="00D42FC6">
          <w:rPr>
            <w:noProof/>
          </w:rPr>
          <w:t>1</w:t>
        </w:r>
        <w:r>
          <w:rPr>
            <w:noProof/>
          </w:rPr>
          <w:fldChar w:fldCharType="end"/>
        </w:r>
      </w:p>
    </w:sdtContent>
  </w:sdt>
  <w:p w:rsidR="00943FEC" w:rsidRDefault="00943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2D1" w:rsidRDefault="008352D1" w:rsidP="008352D1">
      <w:pPr>
        <w:spacing w:before="0"/>
      </w:pPr>
      <w:r>
        <w:separator/>
      </w:r>
    </w:p>
  </w:footnote>
  <w:footnote w:type="continuationSeparator" w:id="0">
    <w:p w:rsidR="008352D1" w:rsidRDefault="008352D1" w:rsidP="008352D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6167B"/>
    <w:multiLevelType w:val="multilevel"/>
    <w:tmpl w:val="F64AFAA2"/>
    <w:lvl w:ilvl="0">
      <w:start w:val="1"/>
      <w:numFmt w:val="decimal"/>
      <w:lvlRestart w:val="0"/>
      <w:pStyle w:val="BTCHeading1"/>
      <w:lvlText w:val="%1"/>
      <w:lvlJc w:val="left"/>
      <w:pPr>
        <w:tabs>
          <w:tab w:val="num" w:pos="431"/>
        </w:tabs>
        <w:ind w:left="0" w:firstLine="0"/>
      </w:pPr>
      <w:rPr>
        <w:rFonts w:ascii="Arial" w:hAnsi="Arial" w:cs="Times New Roman" w:hint="default"/>
        <w:b/>
        <w:color w:val="50B848"/>
        <w:sz w:val="32"/>
      </w:rPr>
    </w:lvl>
    <w:lvl w:ilvl="1">
      <w:start w:val="1"/>
      <w:numFmt w:val="decimal"/>
      <w:pStyle w:val="BTCHeading2"/>
      <w:lvlText w:val="%1.%2"/>
      <w:lvlJc w:val="left"/>
      <w:pPr>
        <w:tabs>
          <w:tab w:val="num" w:pos="578"/>
        </w:tabs>
        <w:ind w:left="578" w:hanging="578"/>
      </w:pPr>
      <w:rPr>
        <w:rFonts w:ascii="Arial" w:hAnsi="Arial" w:cs="Times New Roman" w:hint="default"/>
        <w:b/>
        <w:color w:val="50B848"/>
        <w:sz w:val="28"/>
      </w:rPr>
    </w:lvl>
    <w:lvl w:ilvl="2">
      <w:start w:val="1"/>
      <w:numFmt w:val="decimal"/>
      <w:pStyle w:val="BTCHeading3"/>
      <w:lvlText w:val="%1.%2.%3"/>
      <w:lvlJc w:val="left"/>
      <w:pPr>
        <w:tabs>
          <w:tab w:val="num" w:pos="720"/>
        </w:tabs>
        <w:ind w:left="720" w:hanging="720"/>
      </w:pPr>
      <w:rPr>
        <w:rFonts w:ascii="Arial" w:hAnsi="Arial" w:cs="Times New Roman" w:hint="default"/>
        <w:b/>
        <w:color w:val="50B848"/>
        <w:sz w:val="24"/>
      </w:rPr>
    </w:lvl>
    <w:lvl w:ilvl="3">
      <w:start w:val="1"/>
      <w:numFmt w:val="decimal"/>
      <w:lvlText w:val="%1.%2.%3.%4"/>
      <w:lvlJc w:val="left"/>
      <w:pPr>
        <w:tabs>
          <w:tab w:val="num" w:pos="862"/>
        </w:tabs>
        <w:ind w:left="862" w:hanging="862"/>
      </w:pPr>
      <w:rPr>
        <w:rFonts w:ascii="Arial" w:hAnsi="Arial" w:cs="Times New Roman" w:hint="default"/>
      </w:rPr>
    </w:lvl>
    <w:lvl w:ilvl="4">
      <w:start w:val="1"/>
      <w:numFmt w:val="decimal"/>
      <w:lvlText w:val="%1.%2.%3.%4.%5"/>
      <w:lvlJc w:val="left"/>
      <w:pPr>
        <w:tabs>
          <w:tab w:val="num" w:pos="1009"/>
        </w:tabs>
        <w:ind w:left="1009" w:hanging="10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
    <w:nsid w:val="3C0E2593"/>
    <w:multiLevelType w:val="hybridMultilevel"/>
    <w:tmpl w:val="78F4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646FB1"/>
    <w:multiLevelType w:val="hybridMultilevel"/>
    <w:tmpl w:val="71AA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D1"/>
    <w:rsid w:val="00004E36"/>
    <w:rsid w:val="00012FA6"/>
    <w:rsid w:val="00016543"/>
    <w:rsid w:val="00041F0C"/>
    <w:rsid w:val="0004368A"/>
    <w:rsid w:val="00052335"/>
    <w:rsid w:val="000627BE"/>
    <w:rsid w:val="0007122B"/>
    <w:rsid w:val="00075498"/>
    <w:rsid w:val="000930A3"/>
    <w:rsid w:val="00093D72"/>
    <w:rsid w:val="00094351"/>
    <w:rsid w:val="000A1B78"/>
    <w:rsid w:val="000E1888"/>
    <w:rsid w:val="00117218"/>
    <w:rsid w:val="00122E1D"/>
    <w:rsid w:val="0012497A"/>
    <w:rsid w:val="00130D5B"/>
    <w:rsid w:val="0014425F"/>
    <w:rsid w:val="001519A4"/>
    <w:rsid w:val="00155537"/>
    <w:rsid w:val="00156693"/>
    <w:rsid w:val="0016272B"/>
    <w:rsid w:val="0016373A"/>
    <w:rsid w:val="001649E7"/>
    <w:rsid w:val="00164CAB"/>
    <w:rsid w:val="00170584"/>
    <w:rsid w:val="001747FE"/>
    <w:rsid w:val="00177F6D"/>
    <w:rsid w:val="001900D0"/>
    <w:rsid w:val="00192628"/>
    <w:rsid w:val="00193347"/>
    <w:rsid w:val="001A0CB7"/>
    <w:rsid w:val="001A3455"/>
    <w:rsid w:val="001A5E49"/>
    <w:rsid w:val="001A7255"/>
    <w:rsid w:val="001B1FB7"/>
    <w:rsid w:val="001B4380"/>
    <w:rsid w:val="001B4397"/>
    <w:rsid w:val="001C03DB"/>
    <w:rsid w:val="001C20BA"/>
    <w:rsid w:val="001C3565"/>
    <w:rsid w:val="001D107F"/>
    <w:rsid w:val="001D541B"/>
    <w:rsid w:val="001D59A2"/>
    <w:rsid w:val="001E3922"/>
    <w:rsid w:val="001E5896"/>
    <w:rsid w:val="001F3587"/>
    <w:rsid w:val="001F754A"/>
    <w:rsid w:val="00202DAA"/>
    <w:rsid w:val="0020466D"/>
    <w:rsid w:val="0021022C"/>
    <w:rsid w:val="0021203F"/>
    <w:rsid w:val="00221612"/>
    <w:rsid w:val="00227C92"/>
    <w:rsid w:val="0025210A"/>
    <w:rsid w:val="00254C45"/>
    <w:rsid w:val="002559A2"/>
    <w:rsid w:val="00260C15"/>
    <w:rsid w:val="00261EBD"/>
    <w:rsid w:val="00262B86"/>
    <w:rsid w:val="00275D72"/>
    <w:rsid w:val="00292B7A"/>
    <w:rsid w:val="00297766"/>
    <w:rsid w:val="002D1E08"/>
    <w:rsid w:val="002D222C"/>
    <w:rsid w:val="002D4AB7"/>
    <w:rsid w:val="002D538F"/>
    <w:rsid w:val="002D6999"/>
    <w:rsid w:val="002E6E80"/>
    <w:rsid w:val="00302B30"/>
    <w:rsid w:val="003038F6"/>
    <w:rsid w:val="0031439F"/>
    <w:rsid w:val="00321029"/>
    <w:rsid w:val="00330C77"/>
    <w:rsid w:val="00332450"/>
    <w:rsid w:val="0033464A"/>
    <w:rsid w:val="00335479"/>
    <w:rsid w:val="003360F0"/>
    <w:rsid w:val="00336844"/>
    <w:rsid w:val="00340020"/>
    <w:rsid w:val="00341D9B"/>
    <w:rsid w:val="00353F0C"/>
    <w:rsid w:val="003559E2"/>
    <w:rsid w:val="00361FAE"/>
    <w:rsid w:val="00371F99"/>
    <w:rsid w:val="00373206"/>
    <w:rsid w:val="0038082E"/>
    <w:rsid w:val="00387700"/>
    <w:rsid w:val="00391A07"/>
    <w:rsid w:val="003942B1"/>
    <w:rsid w:val="003B053A"/>
    <w:rsid w:val="003B41F6"/>
    <w:rsid w:val="003B6B19"/>
    <w:rsid w:val="003C4032"/>
    <w:rsid w:val="003C46C9"/>
    <w:rsid w:val="003C7FBA"/>
    <w:rsid w:val="003E4F4F"/>
    <w:rsid w:val="003E52BD"/>
    <w:rsid w:val="003F00E9"/>
    <w:rsid w:val="00400885"/>
    <w:rsid w:val="0040275F"/>
    <w:rsid w:val="004029BD"/>
    <w:rsid w:val="004040E9"/>
    <w:rsid w:val="00421854"/>
    <w:rsid w:val="00427F36"/>
    <w:rsid w:val="0043165B"/>
    <w:rsid w:val="00433CBF"/>
    <w:rsid w:val="0046239D"/>
    <w:rsid w:val="0046279F"/>
    <w:rsid w:val="0046729B"/>
    <w:rsid w:val="00485629"/>
    <w:rsid w:val="004934D0"/>
    <w:rsid w:val="004952B2"/>
    <w:rsid w:val="004A31B6"/>
    <w:rsid w:val="004B34FF"/>
    <w:rsid w:val="004B6F36"/>
    <w:rsid w:val="004C262A"/>
    <w:rsid w:val="004E0117"/>
    <w:rsid w:val="004E0CD8"/>
    <w:rsid w:val="004E4C92"/>
    <w:rsid w:val="004E7F52"/>
    <w:rsid w:val="005055E9"/>
    <w:rsid w:val="00520D02"/>
    <w:rsid w:val="0052681A"/>
    <w:rsid w:val="00531928"/>
    <w:rsid w:val="00540D9C"/>
    <w:rsid w:val="0054211A"/>
    <w:rsid w:val="00542DF8"/>
    <w:rsid w:val="00550C15"/>
    <w:rsid w:val="00555989"/>
    <w:rsid w:val="00555AF1"/>
    <w:rsid w:val="00567B3C"/>
    <w:rsid w:val="005742F8"/>
    <w:rsid w:val="00576DCB"/>
    <w:rsid w:val="00582B76"/>
    <w:rsid w:val="00597026"/>
    <w:rsid w:val="005A09D3"/>
    <w:rsid w:val="005B1B4C"/>
    <w:rsid w:val="005B3280"/>
    <w:rsid w:val="005C3288"/>
    <w:rsid w:val="005C3F4D"/>
    <w:rsid w:val="005D12FF"/>
    <w:rsid w:val="005F5F98"/>
    <w:rsid w:val="005F7C37"/>
    <w:rsid w:val="00603AEA"/>
    <w:rsid w:val="00610900"/>
    <w:rsid w:val="00612804"/>
    <w:rsid w:val="00614B60"/>
    <w:rsid w:val="00627567"/>
    <w:rsid w:val="006315B4"/>
    <w:rsid w:val="00636B1B"/>
    <w:rsid w:val="00652C5D"/>
    <w:rsid w:val="006544D5"/>
    <w:rsid w:val="00654772"/>
    <w:rsid w:val="00656A2B"/>
    <w:rsid w:val="00662F4B"/>
    <w:rsid w:val="006663E2"/>
    <w:rsid w:val="00672869"/>
    <w:rsid w:val="00675AD6"/>
    <w:rsid w:val="006761CD"/>
    <w:rsid w:val="006769C0"/>
    <w:rsid w:val="00681898"/>
    <w:rsid w:val="00687D15"/>
    <w:rsid w:val="0069718B"/>
    <w:rsid w:val="006978F1"/>
    <w:rsid w:val="006B2037"/>
    <w:rsid w:val="006C097C"/>
    <w:rsid w:val="006D5AA6"/>
    <w:rsid w:val="006D6FF8"/>
    <w:rsid w:val="006E3AC5"/>
    <w:rsid w:val="006E4C32"/>
    <w:rsid w:val="006F1D23"/>
    <w:rsid w:val="007222C5"/>
    <w:rsid w:val="0072690B"/>
    <w:rsid w:val="00733103"/>
    <w:rsid w:val="00740518"/>
    <w:rsid w:val="007461AE"/>
    <w:rsid w:val="00746C82"/>
    <w:rsid w:val="00755161"/>
    <w:rsid w:val="00760FAD"/>
    <w:rsid w:val="00761CA9"/>
    <w:rsid w:val="00774375"/>
    <w:rsid w:val="00780BEE"/>
    <w:rsid w:val="00787187"/>
    <w:rsid w:val="007926DC"/>
    <w:rsid w:val="007A189C"/>
    <w:rsid w:val="007A6DCD"/>
    <w:rsid w:val="007A7E83"/>
    <w:rsid w:val="007B1781"/>
    <w:rsid w:val="007B7867"/>
    <w:rsid w:val="007C0896"/>
    <w:rsid w:val="007D1CBC"/>
    <w:rsid w:val="007D61EB"/>
    <w:rsid w:val="007E03EF"/>
    <w:rsid w:val="007F04CA"/>
    <w:rsid w:val="00802E35"/>
    <w:rsid w:val="00804FAD"/>
    <w:rsid w:val="008249A6"/>
    <w:rsid w:val="00832960"/>
    <w:rsid w:val="008352D1"/>
    <w:rsid w:val="008365F9"/>
    <w:rsid w:val="00846162"/>
    <w:rsid w:val="008477BE"/>
    <w:rsid w:val="00854DD0"/>
    <w:rsid w:val="008605DB"/>
    <w:rsid w:val="00862401"/>
    <w:rsid w:val="00862735"/>
    <w:rsid w:val="008654D3"/>
    <w:rsid w:val="00867D47"/>
    <w:rsid w:val="00883F37"/>
    <w:rsid w:val="00896E2E"/>
    <w:rsid w:val="008D43A0"/>
    <w:rsid w:val="008E0CA2"/>
    <w:rsid w:val="008E27E7"/>
    <w:rsid w:val="008E63B9"/>
    <w:rsid w:val="0090674D"/>
    <w:rsid w:val="00910867"/>
    <w:rsid w:val="00914E67"/>
    <w:rsid w:val="00926887"/>
    <w:rsid w:val="00927793"/>
    <w:rsid w:val="00942956"/>
    <w:rsid w:val="00943FEC"/>
    <w:rsid w:val="00957776"/>
    <w:rsid w:val="009676B9"/>
    <w:rsid w:val="009713B5"/>
    <w:rsid w:val="00987E59"/>
    <w:rsid w:val="00987FF7"/>
    <w:rsid w:val="009940EA"/>
    <w:rsid w:val="00994A70"/>
    <w:rsid w:val="009A0BD0"/>
    <w:rsid w:val="009A1135"/>
    <w:rsid w:val="009A1AD9"/>
    <w:rsid w:val="009C3272"/>
    <w:rsid w:val="009C543C"/>
    <w:rsid w:val="009D3746"/>
    <w:rsid w:val="009D5F29"/>
    <w:rsid w:val="009E18E4"/>
    <w:rsid w:val="009E3811"/>
    <w:rsid w:val="009E3F49"/>
    <w:rsid w:val="009F388B"/>
    <w:rsid w:val="00A1211C"/>
    <w:rsid w:val="00A27AB6"/>
    <w:rsid w:val="00A334A7"/>
    <w:rsid w:val="00A43AC8"/>
    <w:rsid w:val="00A44F92"/>
    <w:rsid w:val="00A51A0D"/>
    <w:rsid w:val="00A51DAF"/>
    <w:rsid w:val="00A54B78"/>
    <w:rsid w:val="00A64B12"/>
    <w:rsid w:val="00A65165"/>
    <w:rsid w:val="00A72EAB"/>
    <w:rsid w:val="00A73A6C"/>
    <w:rsid w:val="00A73B8A"/>
    <w:rsid w:val="00A8733F"/>
    <w:rsid w:val="00A937D1"/>
    <w:rsid w:val="00AA0357"/>
    <w:rsid w:val="00AA67B3"/>
    <w:rsid w:val="00AB06FD"/>
    <w:rsid w:val="00AB54EE"/>
    <w:rsid w:val="00AC0EA3"/>
    <w:rsid w:val="00AC2396"/>
    <w:rsid w:val="00AC598E"/>
    <w:rsid w:val="00AC5FDA"/>
    <w:rsid w:val="00AE5620"/>
    <w:rsid w:val="00AF02AD"/>
    <w:rsid w:val="00AF06C1"/>
    <w:rsid w:val="00AF3CCD"/>
    <w:rsid w:val="00B12159"/>
    <w:rsid w:val="00B21D0F"/>
    <w:rsid w:val="00B24074"/>
    <w:rsid w:val="00B2471E"/>
    <w:rsid w:val="00B27BE9"/>
    <w:rsid w:val="00B31A2A"/>
    <w:rsid w:val="00B3342A"/>
    <w:rsid w:val="00B41640"/>
    <w:rsid w:val="00B42266"/>
    <w:rsid w:val="00B529CD"/>
    <w:rsid w:val="00B541C8"/>
    <w:rsid w:val="00B60E09"/>
    <w:rsid w:val="00B6651D"/>
    <w:rsid w:val="00B67911"/>
    <w:rsid w:val="00B72A47"/>
    <w:rsid w:val="00B742C2"/>
    <w:rsid w:val="00B816DA"/>
    <w:rsid w:val="00B83102"/>
    <w:rsid w:val="00B8317E"/>
    <w:rsid w:val="00B86E4C"/>
    <w:rsid w:val="00B9091C"/>
    <w:rsid w:val="00B95102"/>
    <w:rsid w:val="00BC4A06"/>
    <w:rsid w:val="00BC61AC"/>
    <w:rsid w:val="00BD23FB"/>
    <w:rsid w:val="00BD471D"/>
    <w:rsid w:val="00BE3CEA"/>
    <w:rsid w:val="00BF68C3"/>
    <w:rsid w:val="00C02E99"/>
    <w:rsid w:val="00C13348"/>
    <w:rsid w:val="00C156D2"/>
    <w:rsid w:val="00C169EE"/>
    <w:rsid w:val="00C24266"/>
    <w:rsid w:val="00C26144"/>
    <w:rsid w:val="00C41A04"/>
    <w:rsid w:val="00C52568"/>
    <w:rsid w:val="00C53ADD"/>
    <w:rsid w:val="00C57D7E"/>
    <w:rsid w:val="00C60FF0"/>
    <w:rsid w:val="00C67DCE"/>
    <w:rsid w:val="00C71B4F"/>
    <w:rsid w:val="00C71E11"/>
    <w:rsid w:val="00C85316"/>
    <w:rsid w:val="00C923D1"/>
    <w:rsid w:val="00C96472"/>
    <w:rsid w:val="00CA0CF8"/>
    <w:rsid w:val="00CA3B63"/>
    <w:rsid w:val="00CB4C4A"/>
    <w:rsid w:val="00CB5023"/>
    <w:rsid w:val="00CC1B45"/>
    <w:rsid w:val="00CD4D48"/>
    <w:rsid w:val="00CD6FB3"/>
    <w:rsid w:val="00CE2718"/>
    <w:rsid w:val="00CF0AF2"/>
    <w:rsid w:val="00CF4F02"/>
    <w:rsid w:val="00D10725"/>
    <w:rsid w:val="00D1165F"/>
    <w:rsid w:val="00D17DC1"/>
    <w:rsid w:val="00D20FBD"/>
    <w:rsid w:val="00D222A7"/>
    <w:rsid w:val="00D42FC6"/>
    <w:rsid w:val="00D4335C"/>
    <w:rsid w:val="00D5276C"/>
    <w:rsid w:val="00D75281"/>
    <w:rsid w:val="00DA1BE6"/>
    <w:rsid w:val="00DA3F08"/>
    <w:rsid w:val="00DA54AD"/>
    <w:rsid w:val="00DA67EA"/>
    <w:rsid w:val="00DB0AF6"/>
    <w:rsid w:val="00DB7A00"/>
    <w:rsid w:val="00DC7802"/>
    <w:rsid w:val="00DE29B8"/>
    <w:rsid w:val="00DF1562"/>
    <w:rsid w:val="00DF37DC"/>
    <w:rsid w:val="00DF3C58"/>
    <w:rsid w:val="00E263F8"/>
    <w:rsid w:val="00E2742D"/>
    <w:rsid w:val="00E366E2"/>
    <w:rsid w:val="00E4123C"/>
    <w:rsid w:val="00E6342F"/>
    <w:rsid w:val="00E639A1"/>
    <w:rsid w:val="00E66319"/>
    <w:rsid w:val="00E67631"/>
    <w:rsid w:val="00E67B0A"/>
    <w:rsid w:val="00E67BF6"/>
    <w:rsid w:val="00E77A8A"/>
    <w:rsid w:val="00E86E55"/>
    <w:rsid w:val="00E95BEB"/>
    <w:rsid w:val="00EA3893"/>
    <w:rsid w:val="00EA7AC7"/>
    <w:rsid w:val="00EB6F40"/>
    <w:rsid w:val="00EC54A3"/>
    <w:rsid w:val="00EC7BD3"/>
    <w:rsid w:val="00EF49F9"/>
    <w:rsid w:val="00EF4C9A"/>
    <w:rsid w:val="00F0592A"/>
    <w:rsid w:val="00F05E9C"/>
    <w:rsid w:val="00F154BC"/>
    <w:rsid w:val="00F268D0"/>
    <w:rsid w:val="00F710C4"/>
    <w:rsid w:val="00F7483F"/>
    <w:rsid w:val="00F90E9F"/>
    <w:rsid w:val="00F95780"/>
    <w:rsid w:val="00FA0D89"/>
    <w:rsid w:val="00FD799C"/>
    <w:rsid w:val="00FE4C64"/>
    <w:rsid w:val="00FF0496"/>
    <w:rsid w:val="00FF1321"/>
    <w:rsid w:val="00FF2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352D1"/>
    <w:pPr>
      <w:spacing w:before="120" w:after="0" w:line="240" w:lineRule="auto"/>
    </w:pPr>
    <w:rPr>
      <w:rFonts w:ascii="Arial" w:eastAsia="Times New Roman" w:hAnsi="Arial" w:cs="Arial"/>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CHeading1">
    <w:name w:val="BTC Heading 1"/>
    <w:basedOn w:val="Normal"/>
    <w:next w:val="Normal"/>
    <w:uiPriority w:val="1"/>
    <w:qFormat/>
    <w:rsid w:val="008352D1"/>
    <w:pPr>
      <w:keepNext/>
      <w:pageBreakBefore/>
      <w:widowControl w:val="0"/>
      <w:numPr>
        <w:numId w:val="3"/>
      </w:numPr>
      <w:suppressAutoHyphens/>
      <w:spacing w:after="480" w:line="288" w:lineRule="auto"/>
      <w:jc w:val="both"/>
    </w:pPr>
    <w:rPr>
      <w:rFonts w:cs="Times New Roman"/>
      <w:b/>
      <w:smallCaps/>
      <w:color w:val="50B848"/>
      <w:kern w:val="18"/>
      <w:sz w:val="32"/>
    </w:rPr>
  </w:style>
  <w:style w:type="paragraph" w:customStyle="1" w:styleId="BTCHeading2">
    <w:name w:val="BTC Heading 2"/>
    <w:basedOn w:val="Normal"/>
    <w:next w:val="Normal"/>
    <w:uiPriority w:val="1"/>
    <w:qFormat/>
    <w:rsid w:val="008352D1"/>
    <w:pPr>
      <w:keepNext/>
      <w:widowControl w:val="0"/>
      <w:numPr>
        <w:ilvl w:val="1"/>
        <w:numId w:val="3"/>
      </w:numPr>
      <w:suppressAutoHyphens/>
      <w:spacing w:before="600" w:after="240" w:line="288" w:lineRule="auto"/>
      <w:jc w:val="both"/>
      <w:outlineLvl w:val="1"/>
    </w:pPr>
    <w:rPr>
      <w:rFonts w:cs="Times New Roman"/>
      <w:b/>
      <w:color w:val="50B848"/>
      <w:kern w:val="18"/>
      <w:sz w:val="28"/>
    </w:rPr>
  </w:style>
  <w:style w:type="paragraph" w:customStyle="1" w:styleId="BTCHeading3">
    <w:name w:val="BTC Heading 3"/>
    <w:basedOn w:val="Normal"/>
    <w:next w:val="Normal"/>
    <w:autoRedefine/>
    <w:uiPriority w:val="1"/>
    <w:qFormat/>
    <w:rsid w:val="008352D1"/>
    <w:pPr>
      <w:keepNext/>
      <w:numPr>
        <w:ilvl w:val="2"/>
        <w:numId w:val="3"/>
      </w:numPr>
      <w:suppressAutoHyphens/>
      <w:spacing w:before="360" w:after="240" w:line="288" w:lineRule="auto"/>
      <w:jc w:val="both"/>
      <w:outlineLvl w:val="1"/>
    </w:pPr>
    <w:rPr>
      <w:rFonts w:cs="Times New Roman"/>
      <w:b/>
      <w:color w:val="50B848"/>
      <w:kern w:val="18"/>
      <w:sz w:val="24"/>
    </w:rPr>
  </w:style>
  <w:style w:type="paragraph" w:styleId="FootnoteText">
    <w:name w:val="footnote text"/>
    <w:basedOn w:val="Normal"/>
    <w:link w:val="FootnoteTextChar"/>
    <w:semiHidden/>
    <w:rsid w:val="008352D1"/>
    <w:rPr>
      <w:color w:val="auto"/>
      <w:sz w:val="16"/>
    </w:rPr>
  </w:style>
  <w:style w:type="character" w:customStyle="1" w:styleId="FootnoteTextChar">
    <w:name w:val="Footnote Text Char"/>
    <w:basedOn w:val="DefaultParagraphFont"/>
    <w:link w:val="FootnoteText"/>
    <w:semiHidden/>
    <w:rsid w:val="008352D1"/>
    <w:rPr>
      <w:rFonts w:ascii="Arial" w:eastAsia="Times New Roman" w:hAnsi="Arial" w:cs="Arial"/>
      <w:sz w:val="16"/>
      <w:szCs w:val="20"/>
    </w:rPr>
  </w:style>
  <w:style w:type="character" w:styleId="FootnoteReference">
    <w:name w:val="footnote reference"/>
    <w:semiHidden/>
    <w:rsid w:val="008352D1"/>
    <w:rPr>
      <w:vertAlign w:val="superscript"/>
    </w:rPr>
  </w:style>
  <w:style w:type="paragraph" w:styleId="Header">
    <w:name w:val="header"/>
    <w:basedOn w:val="Normal"/>
    <w:link w:val="HeaderChar"/>
    <w:uiPriority w:val="99"/>
    <w:unhideWhenUsed/>
    <w:rsid w:val="00943FEC"/>
    <w:pPr>
      <w:tabs>
        <w:tab w:val="center" w:pos="4513"/>
        <w:tab w:val="right" w:pos="9026"/>
      </w:tabs>
      <w:spacing w:before="0"/>
    </w:pPr>
  </w:style>
  <w:style w:type="character" w:customStyle="1" w:styleId="HeaderChar">
    <w:name w:val="Header Char"/>
    <w:basedOn w:val="DefaultParagraphFont"/>
    <w:link w:val="Header"/>
    <w:uiPriority w:val="99"/>
    <w:rsid w:val="00943FEC"/>
    <w:rPr>
      <w:rFonts w:ascii="Arial" w:eastAsia="Times New Roman" w:hAnsi="Arial" w:cs="Arial"/>
      <w:color w:val="4F81BD"/>
      <w:sz w:val="20"/>
      <w:szCs w:val="20"/>
    </w:rPr>
  </w:style>
  <w:style w:type="paragraph" w:styleId="Footer">
    <w:name w:val="footer"/>
    <w:basedOn w:val="Normal"/>
    <w:link w:val="FooterChar"/>
    <w:uiPriority w:val="99"/>
    <w:unhideWhenUsed/>
    <w:rsid w:val="00943FEC"/>
    <w:pPr>
      <w:tabs>
        <w:tab w:val="center" w:pos="4513"/>
        <w:tab w:val="right" w:pos="9026"/>
      </w:tabs>
      <w:spacing w:before="0"/>
    </w:pPr>
  </w:style>
  <w:style w:type="character" w:customStyle="1" w:styleId="FooterChar">
    <w:name w:val="Footer Char"/>
    <w:basedOn w:val="DefaultParagraphFont"/>
    <w:link w:val="Footer"/>
    <w:uiPriority w:val="99"/>
    <w:rsid w:val="00943FEC"/>
    <w:rPr>
      <w:rFonts w:ascii="Arial" w:eastAsia="Times New Roman" w:hAnsi="Arial" w:cs="Arial"/>
      <w:color w:val="4F81B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352D1"/>
    <w:pPr>
      <w:spacing w:before="120" w:after="0" w:line="240" w:lineRule="auto"/>
    </w:pPr>
    <w:rPr>
      <w:rFonts w:ascii="Arial" w:eastAsia="Times New Roman" w:hAnsi="Arial" w:cs="Arial"/>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CHeading1">
    <w:name w:val="BTC Heading 1"/>
    <w:basedOn w:val="Normal"/>
    <w:next w:val="Normal"/>
    <w:uiPriority w:val="1"/>
    <w:qFormat/>
    <w:rsid w:val="008352D1"/>
    <w:pPr>
      <w:keepNext/>
      <w:pageBreakBefore/>
      <w:widowControl w:val="0"/>
      <w:numPr>
        <w:numId w:val="3"/>
      </w:numPr>
      <w:suppressAutoHyphens/>
      <w:spacing w:after="480" w:line="288" w:lineRule="auto"/>
      <w:jc w:val="both"/>
    </w:pPr>
    <w:rPr>
      <w:rFonts w:cs="Times New Roman"/>
      <w:b/>
      <w:smallCaps/>
      <w:color w:val="50B848"/>
      <w:kern w:val="18"/>
      <w:sz w:val="32"/>
    </w:rPr>
  </w:style>
  <w:style w:type="paragraph" w:customStyle="1" w:styleId="BTCHeading2">
    <w:name w:val="BTC Heading 2"/>
    <w:basedOn w:val="Normal"/>
    <w:next w:val="Normal"/>
    <w:uiPriority w:val="1"/>
    <w:qFormat/>
    <w:rsid w:val="008352D1"/>
    <w:pPr>
      <w:keepNext/>
      <w:widowControl w:val="0"/>
      <w:numPr>
        <w:ilvl w:val="1"/>
        <w:numId w:val="3"/>
      </w:numPr>
      <w:suppressAutoHyphens/>
      <w:spacing w:before="600" w:after="240" w:line="288" w:lineRule="auto"/>
      <w:jc w:val="both"/>
      <w:outlineLvl w:val="1"/>
    </w:pPr>
    <w:rPr>
      <w:rFonts w:cs="Times New Roman"/>
      <w:b/>
      <w:color w:val="50B848"/>
      <w:kern w:val="18"/>
      <w:sz w:val="28"/>
    </w:rPr>
  </w:style>
  <w:style w:type="paragraph" w:customStyle="1" w:styleId="BTCHeading3">
    <w:name w:val="BTC Heading 3"/>
    <w:basedOn w:val="Normal"/>
    <w:next w:val="Normal"/>
    <w:autoRedefine/>
    <w:uiPriority w:val="1"/>
    <w:qFormat/>
    <w:rsid w:val="008352D1"/>
    <w:pPr>
      <w:keepNext/>
      <w:numPr>
        <w:ilvl w:val="2"/>
        <w:numId w:val="3"/>
      </w:numPr>
      <w:suppressAutoHyphens/>
      <w:spacing w:before="360" w:after="240" w:line="288" w:lineRule="auto"/>
      <w:jc w:val="both"/>
      <w:outlineLvl w:val="1"/>
    </w:pPr>
    <w:rPr>
      <w:rFonts w:cs="Times New Roman"/>
      <w:b/>
      <w:color w:val="50B848"/>
      <w:kern w:val="18"/>
      <w:sz w:val="24"/>
    </w:rPr>
  </w:style>
  <w:style w:type="paragraph" w:styleId="FootnoteText">
    <w:name w:val="footnote text"/>
    <w:basedOn w:val="Normal"/>
    <w:link w:val="FootnoteTextChar"/>
    <w:semiHidden/>
    <w:rsid w:val="008352D1"/>
    <w:rPr>
      <w:color w:val="auto"/>
      <w:sz w:val="16"/>
    </w:rPr>
  </w:style>
  <w:style w:type="character" w:customStyle="1" w:styleId="FootnoteTextChar">
    <w:name w:val="Footnote Text Char"/>
    <w:basedOn w:val="DefaultParagraphFont"/>
    <w:link w:val="FootnoteText"/>
    <w:semiHidden/>
    <w:rsid w:val="008352D1"/>
    <w:rPr>
      <w:rFonts w:ascii="Arial" w:eastAsia="Times New Roman" w:hAnsi="Arial" w:cs="Arial"/>
      <w:sz w:val="16"/>
      <w:szCs w:val="20"/>
    </w:rPr>
  </w:style>
  <w:style w:type="character" w:styleId="FootnoteReference">
    <w:name w:val="footnote reference"/>
    <w:semiHidden/>
    <w:rsid w:val="008352D1"/>
    <w:rPr>
      <w:vertAlign w:val="superscript"/>
    </w:rPr>
  </w:style>
  <w:style w:type="paragraph" w:styleId="Header">
    <w:name w:val="header"/>
    <w:basedOn w:val="Normal"/>
    <w:link w:val="HeaderChar"/>
    <w:uiPriority w:val="99"/>
    <w:unhideWhenUsed/>
    <w:rsid w:val="00943FEC"/>
    <w:pPr>
      <w:tabs>
        <w:tab w:val="center" w:pos="4513"/>
        <w:tab w:val="right" w:pos="9026"/>
      </w:tabs>
      <w:spacing w:before="0"/>
    </w:pPr>
  </w:style>
  <w:style w:type="character" w:customStyle="1" w:styleId="HeaderChar">
    <w:name w:val="Header Char"/>
    <w:basedOn w:val="DefaultParagraphFont"/>
    <w:link w:val="Header"/>
    <w:uiPriority w:val="99"/>
    <w:rsid w:val="00943FEC"/>
    <w:rPr>
      <w:rFonts w:ascii="Arial" w:eastAsia="Times New Roman" w:hAnsi="Arial" w:cs="Arial"/>
      <w:color w:val="4F81BD"/>
      <w:sz w:val="20"/>
      <w:szCs w:val="20"/>
    </w:rPr>
  </w:style>
  <w:style w:type="paragraph" w:styleId="Footer">
    <w:name w:val="footer"/>
    <w:basedOn w:val="Normal"/>
    <w:link w:val="FooterChar"/>
    <w:uiPriority w:val="99"/>
    <w:unhideWhenUsed/>
    <w:rsid w:val="00943FEC"/>
    <w:pPr>
      <w:tabs>
        <w:tab w:val="center" w:pos="4513"/>
        <w:tab w:val="right" w:pos="9026"/>
      </w:tabs>
      <w:spacing w:before="0"/>
    </w:pPr>
  </w:style>
  <w:style w:type="character" w:customStyle="1" w:styleId="FooterChar">
    <w:name w:val="Footer Char"/>
    <w:basedOn w:val="DefaultParagraphFont"/>
    <w:link w:val="Footer"/>
    <w:uiPriority w:val="99"/>
    <w:rsid w:val="00943FEC"/>
    <w:rPr>
      <w:rFonts w:ascii="Arial" w:eastAsia="Times New Roman" w:hAnsi="Arial" w:cs="Arial"/>
      <w:color w:val="4F81B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3750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Stoitcheva, Dessislava (Bulgaria)</dc:creator>
  <cp:lastModifiedBy>Wade, Katie (Education and Society)</cp:lastModifiedBy>
  <cp:revision>2</cp:revision>
  <dcterms:created xsi:type="dcterms:W3CDTF">2017-12-18T10:35:00Z</dcterms:created>
  <dcterms:modified xsi:type="dcterms:W3CDTF">2017-12-18T10:35:00Z</dcterms:modified>
</cp:coreProperties>
</file>