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649" w:rsidRDefault="008E1649" w:rsidP="008E1649">
      <w:pPr>
        <w:rPr>
          <w:rFonts w:asciiTheme="minorHAnsi" w:hAnsiTheme="minorHAnsi" w:cstheme="minorHAnsi"/>
          <w:b/>
          <w:sz w:val="24"/>
          <w:szCs w:val="24"/>
        </w:rPr>
      </w:pPr>
      <w:bookmarkStart w:id="0" w:name="_GoBack"/>
      <w:bookmarkEnd w:id="0"/>
    </w:p>
    <w:p w:rsidR="00020902" w:rsidRPr="008E1649" w:rsidRDefault="008E1649" w:rsidP="008E1649">
      <w:pPr>
        <w:jc w:val="center"/>
        <w:rPr>
          <w:b/>
          <w:sz w:val="22"/>
          <w:szCs w:val="22"/>
        </w:rPr>
      </w:pPr>
      <w:r w:rsidRPr="008E1649">
        <w:rPr>
          <w:b/>
          <w:sz w:val="22"/>
          <w:szCs w:val="22"/>
        </w:rPr>
        <w:t xml:space="preserve">Invitation to Tender </w:t>
      </w:r>
      <w:r w:rsidR="002D4B7F" w:rsidRPr="008E1649">
        <w:rPr>
          <w:b/>
          <w:sz w:val="22"/>
          <w:szCs w:val="22"/>
        </w:rPr>
        <w:t>(</w:t>
      </w:r>
      <w:r w:rsidRPr="008E1649">
        <w:rPr>
          <w:b/>
          <w:sz w:val="22"/>
          <w:szCs w:val="22"/>
        </w:rPr>
        <w:t>ITT</w:t>
      </w:r>
      <w:r w:rsidR="002D4B7F" w:rsidRPr="008E1649">
        <w:rPr>
          <w:b/>
          <w:sz w:val="22"/>
          <w:szCs w:val="22"/>
        </w:rPr>
        <w:t>)</w:t>
      </w:r>
    </w:p>
    <w:p w:rsidR="00020902" w:rsidRPr="008E1649" w:rsidRDefault="00020902" w:rsidP="00020902">
      <w:pPr>
        <w:jc w:val="center"/>
        <w:rPr>
          <w:color w:val="FF0000"/>
          <w:sz w:val="22"/>
          <w:szCs w:val="22"/>
        </w:rPr>
      </w:pPr>
    </w:p>
    <w:p w:rsidR="008F4EA3" w:rsidRPr="008E1649" w:rsidRDefault="008572EE" w:rsidP="008F4EA3">
      <w:pPr>
        <w:jc w:val="center"/>
        <w:rPr>
          <w:bCs/>
          <w:sz w:val="22"/>
          <w:szCs w:val="22"/>
        </w:rPr>
      </w:pPr>
      <w:r w:rsidRPr="008E1649">
        <w:rPr>
          <w:sz w:val="22"/>
          <w:szCs w:val="22"/>
        </w:rPr>
        <w:t xml:space="preserve">For: </w:t>
      </w:r>
      <w:r w:rsidR="00304B7D" w:rsidRPr="008E1649">
        <w:rPr>
          <w:bCs/>
          <w:sz w:val="22"/>
          <w:szCs w:val="22"/>
        </w:rPr>
        <w:t>Assessment of viability</w:t>
      </w:r>
      <w:r w:rsidR="008F4EA3" w:rsidRPr="008E1649">
        <w:rPr>
          <w:bCs/>
          <w:sz w:val="22"/>
          <w:szCs w:val="22"/>
        </w:rPr>
        <w:t xml:space="preserve"> for Training Placement Scheme</w:t>
      </w:r>
      <w:r w:rsidR="000F0C7D" w:rsidRPr="008E1649">
        <w:rPr>
          <w:bCs/>
          <w:sz w:val="22"/>
          <w:szCs w:val="22"/>
        </w:rPr>
        <w:t xml:space="preserve"> in Wales</w:t>
      </w:r>
    </w:p>
    <w:p w:rsidR="00020902" w:rsidRPr="008E1649" w:rsidRDefault="008F4EA3" w:rsidP="008F4EA3">
      <w:pPr>
        <w:jc w:val="center"/>
        <w:rPr>
          <w:b/>
          <w:color w:val="FF0000"/>
          <w:sz w:val="22"/>
          <w:szCs w:val="22"/>
        </w:rPr>
      </w:pPr>
      <w:r w:rsidRPr="008E1649">
        <w:rPr>
          <w:b/>
          <w:sz w:val="22"/>
          <w:szCs w:val="22"/>
        </w:rPr>
        <w:t>(</w:t>
      </w:r>
      <w:r w:rsidR="000F0C7D" w:rsidRPr="008E1649">
        <w:rPr>
          <w:b/>
          <w:sz w:val="22"/>
          <w:szCs w:val="22"/>
        </w:rPr>
        <w:t>IAESTE</w:t>
      </w:r>
      <w:r w:rsidRPr="008E1649">
        <w:rPr>
          <w:b/>
          <w:sz w:val="22"/>
          <w:szCs w:val="22"/>
        </w:rPr>
        <w:t>)</w:t>
      </w:r>
      <w:r w:rsidR="00020902" w:rsidRPr="008E1649">
        <w:rPr>
          <w:b/>
          <w:sz w:val="22"/>
          <w:szCs w:val="22"/>
        </w:rPr>
        <w:t xml:space="preserve"> </w:t>
      </w:r>
    </w:p>
    <w:p w:rsidR="00020902" w:rsidRPr="008E1649" w:rsidRDefault="00020902" w:rsidP="00020902">
      <w:pPr>
        <w:rPr>
          <w:color w:val="FF0000"/>
          <w:sz w:val="22"/>
          <w:szCs w:val="22"/>
        </w:rPr>
      </w:pPr>
    </w:p>
    <w:p w:rsidR="00020902" w:rsidRPr="008E1649" w:rsidRDefault="00020902" w:rsidP="00020902">
      <w:pPr>
        <w:rPr>
          <w:sz w:val="22"/>
          <w:szCs w:val="22"/>
        </w:rPr>
      </w:pPr>
    </w:p>
    <w:tbl>
      <w:tblPr>
        <w:tblW w:w="9782" w:type="dxa"/>
        <w:tblInd w:w="-214"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CellMar>
          <w:left w:w="70" w:type="dxa"/>
          <w:right w:w="70" w:type="dxa"/>
        </w:tblCellMar>
        <w:tblLook w:val="0000" w:firstRow="0" w:lastRow="0" w:firstColumn="0" w:lastColumn="0" w:noHBand="0" w:noVBand="0"/>
      </w:tblPr>
      <w:tblGrid>
        <w:gridCol w:w="1640"/>
        <w:gridCol w:w="8142"/>
      </w:tblGrid>
      <w:tr w:rsidR="00020902" w:rsidRPr="008E1649" w:rsidTr="003F5304">
        <w:tc>
          <w:tcPr>
            <w:tcW w:w="1640" w:type="dxa"/>
            <w:shd w:val="clear" w:color="auto" w:fill="808080" w:themeFill="background1" w:themeFillShade="80"/>
          </w:tcPr>
          <w:p w:rsidR="00020902" w:rsidRPr="008E1649" w:rsidRDefault="00020902" w:rsidP="00020902">
            <w:pPr>
              <w:rPr>
                <w:b/>
                <w:color w:val="FFFFFF" w:themeColor="background1"/>
                <w:sz w:val="22"/>
                <w:szCs w:val="22"/>
              </w:rPr>
            </w:pPr>
            <w:r w:rsidRPr="008E1649">
              <w:rPr>
                <w:b/>
                <w:color w:val="FFFFFF" w:themeColor="background1"/>
                <w:sz w:val="22"/>
                <w:szCs w:val="22"/>
              </w:rPr>
              <w:t>Date:</w:t>
            </w:r>
          </w:p>
        </w:tc>
        <w:tc>
          <w:tcPr>
            <w:tcW w:w="8142" w:type="dxa"/>
            <w:shd w:val="clear" w:color="auto" w:fill="808080" w:themeFill="background1" w:themeFillShade="80"/>
          </w:tcPr>
          <w:p w:rsidR="00020902" w:rsidRPr="008E1649" w:rsidRDefault="00D82BFB" w:rsidP="00020902">
            <w:pPr>
              <w:rPr>
                <w:b/>
                <w:color w:val="FFFFFF" w:themeColor="background1"/>
                <w:sz w:val="22"/>
                <w:szCs w:val="22"/>
              </w:rPr>
            </w:pPr>
            <w:r>
              <w:rPr>
                <w:b/>
                <w:color w:val="FFFFFF" w:themeColor="background1"/>
                <w:sz w:val="22"/>
                <w:szCs w:val="22"/>
              </w:rPr>
              <w:t>11</w:t>
            </w:r>
            <w:r w:rsidR="00A731E3" w:rsidRPr="008E1649">
              <w:rPr>
                <w:b/>
                <w:color w:val="FFFFFF" w:themeColor="background1"/>
                <w:sz w:val="22"/>
                <w:szCs w:val="22"/>
              </w:rPr>
              <w:t xml:space="preserve"> April</w:t>
            </w:r>
            <w:r w:rsidR="000F0C7D" w:rsidRPr="008E1649">
              <w:rPr>
                <w:b/>
                <w:color w:val="FFFFFF" w:themeColor="background1"/>
                <w:sz w:val="22"/>
                <w:szCs w:val="22"/>
              </w:rPr>
              <w:t xml:space="preserve"> 2017</w:t>
            </w:r>
          </w:p>
        </w:tc>
      </w:tr>
      <w:tr w:rsidR="00020902" w:rsidRPr="008E1649" w:rsidTr="003F5304">
        <w:trPr>
          <w:trHeight w:val="70"/>
        </w:trPr>
        <w:tc>
          <w:tcPr>
            <w:tcW w:w="1640" w:type="dxa"/>
          </w:tcPr>
          <w:p w:rsidR="00020902" w:rsidRPr="008E1649" w:rsidRDefault="00020902" w:rsidP="00020902">
            <w:pPr>
              <w:rPr>
                <w:b/>
                <w:sz w:val="22"/>
                <w:szCs w:val="22"/>
              </w:rPr>
            </w:pPr>
          </w:p>
          <w:p w:rsidR="00020902" w:rsidRPr="008E1649" w:rsidRDefault="00020902" w:rsidP="00020902">
            <w:pPr>
              <w:rPr>
                <w:sz w:val="22"/>
                <w:szCs w:val="22"/>
              </w:rPr>
            </w:pPr>
            <w:r w:rsidRPr="008E1649">
              <w:rPr>
                <w:b/>
                <w:sz w:val="22"/>
                <w:szCs w:val="22"/>
              </w:rPr>
              <w:t>Overview of the British Council</w:t>
            </w:r>
          </w:p>
          <w:p w:rsidR="00020902" w:rsidRPr="008E1649" w:rsidRDefault="00020902" w:rsidP="00020902">
            <w:pPr>
              <w:rPr>
                <w:b/>
                <w:bCs/>
                <w:sz w:val="22"/>
                <w:szCs w:val="22"/>
              </w:rPr>
            </w:pPr>
          </w:p>
        </w:tc>
        <w:tc>
          <w:tcPr>
            <w:tcW w:w="8142" w:type="dxa"/>
          </w:tcPr>
          <w:p w:rsidR="00020902" w:rsidRPr="00306E4E" w:rsidRDefault="00020902" w:rsidP="00020902">
            <w:r w:rsidRPr="00306E4E">
              <w:tab/>
            </w:r>
          </w:p>
          <w:p w:rsidR="00020902" w:rsidRPr="00306E4E" w:rsidRDefault="00020902" w:rsidP="00020902">
            <w:r w:rsidRPr="00306E4E">
              <w:t>The British Council is the United Kingdom’s international organisation for cultural relations and educational opportunities. Its purpose is to build engagement and trust for the UK through the exchange of knowledge and ideas between people worldwide.  It seeks to achieve its aims by working in education, science, governance, English and the arts.  In 201</w:t>
            </w:r>
            <w:r w:rsidR="000F0C7D" w:rsidRPr="00306E4E">
              <w:t>5</w:t>
            </w:r>
            <w:r w:rsidRPr="00306E4E">
              <w:t>-1</w:t>
            </w:r>
            <w:r w:rsidR="000F0C7D" w:rsidRPr="00306E4E">
              <w:t>6</w:t>
            </w:r>
            <w:r w:rsidRPr="00306E4E">
              <w:t>, its programmes</w:t>
            </w:r>
            <w:r w:rsidR="000F0C7D" w:rsidRPr="00306E4E">
              <w:t xml:space="preserve"> reached a total audience of 646</w:t>
            </w:r>
            <w:r w:rsidRPr="00306E4E">
              <w:t xml:space="preserve"> million people worldwide a</w:t>
            </w:r>
            <w:r w:rsidR="000F0C7D" w:rsidRPr="00306E4E">
              <w:t>nd we engaged directly with 53</w:t>
            </w:r>
            <w:r w:rsidRPr="00306E4E">
              <w:t xml:space="preserve"> million.</w:t>
            </w:r>
          </w:p>
          <w:p w:rsidR="00020902" w:rsidRPr="00306E4E" w:rsidRDefault="00020902" w:rsidP="00020902"/>
          <w:p w:rsidR="00020902" w:rsidRPr="00306E4E" w:rsidRDefault="00020902" w:rsidP="00020902">
            <w:r w:rsidRPr="00306E4E">
              <w:t>The British Council was established in 1934 and incorporated by Royal Charter in 1940.  It is registered as a charity in England and Wales (charity no. 209131) and Scotland (charity no. SCO37733).  It is also an executive non-departmental public body, with the Foreign and Commonwealth Office as its sponsoring department.</w:t>
            </w:r>
          </w:p>
          <w:p w:rsidR="00020902" w:rsidRPr="00306E4E" w:rsidRDefault="00020902" w:rsidP="00020902"/>
          <w:p w:rsidR="00020902" w:rsidRPr="00306E4E" w:rsidRDefault="00020902" w:rsidP="00020902">
            <w:r w:rsidRPr="00306E4E">
              <w:t>Its primary charitable objects are set out in the Charter and are stated to be:-</w:t>
            </w:r>
          </w:p>
          <w:p w:rsidR="00020902" w:rsidRPr="00306E4E" w:rsidRDefault="00020902" w:rsidP="00020902">
            <w:pPr>
              <w:ind w:left="360"/>
            </w:pPr>
          </w:p>
          <w:p w:rsidR="00020902" w:rsidRPr="00306E4E" w:rsidRDefault="00020902" w:rsidP="00020902">
            <w:pPr>
              <w:numPr>
                <w:ilvl w:val="1"/>
                <w:numId w:val="1"/>
              </w:numPr>
              <w:tabs>
                <w:tab w:val="clear" w:pos="1440"/>
                <w:tab w:val="num" w:pos="845"/>
              </w:tabs>
              <w:ind w:left="845" w:hanging="283"/>
            </w:pPr>
            <w:r w:rsidRPr="00306E4E">
              <w:t>Promote cultural relationships and the understanding of different cultures between people and peoples of the United Kingdom and other countries;</w:t>
            </w:r>
          </w:p>
          <w:p w:rsidR="00020902" w:rsidRPr="00306E4E" w:rsidRDefault="00020902" w:rsidP="00020902">
            <w:pPr>
              <w:numPr>
                <w:ilvl w:val="1"/>
                <w:numId w:val="1"/>
              </w:numPr>
              <w:tabs>
                <w:tab w:val="clear" w:pos="1440"/>
                <w:tab w:val="num" w:pos="845"/>
              </w:tabs>
              <w:ind w:left="845" w:hanging="283"/>
            </w:pPr>
            <w:r w:rsidRPr="00306E4E">
              <w:t xml:space="preserve">Promote a wider knowledge of the United Kingdom; </w:t>
            </w:r>
          </w:p>
          <w:p w:rsidR="00020902" w:rsidRPr="00306E4E" w:rsidRDefault="00020902" w:rsidP="00020902">
            <w:pPr>
              <w:numPr>
                <w:ilvl w:val="1"/>
                <w:numId w:val="1"/>
              </w:numPr>
              <w:tabs>
                <w:tab w:val="clear" w:pos="1440"/>
                <w:tab w:val="num" w:pos="845"/>
              </w:tabs>
              <w:ind w:left="845" w:hanging="283"/>
            </w:pPr>
            <w:r w:rsidRPr="00306E4E">
              <w:t>Develop a wider knowledge of the English language;</w:t>
            </w:r>
          </w:p>
          <w:p w:rsidR="00020902" w:rsidRPr="00306E4E" w:rsidRDefault="00020902" w:rsidP="00020902">
            <w:pPr>
              <w:numPr>
                <w:ilvl w:val="1"/>
                <w:numId w:val="1"/>
              </w:numPr>
              <w:tabs>
                <w:tab w:val="clear" w:pos="1440"/>
                <w:tab w:val="num" w:pos="845"/>
              </w:tabs>
              <w:ind w:left="845" w:hanging="283"/>
            </w:pPr>
            <w:r w:rsidRPr="00306E4E">
              <w:t xml:space="preserve">Encourage cultural, scientific, technological and other educational co-operation between the United Kingdom and other countries; </w:t>
            </w:r>
          </w:p>
          <w:p w:rsidR="00020902" w:rsidRPr="00306E4E" w:rsidRDefault="00020902" w:rsidP="00020902">
            <w:pPr>
              <w:numPr>
                <w:ilvl w:val="1"/>
                <w:numId w:val="1"/>
              </w:numPr>
              <w:tabs>
                <w:tab w:val="clear" w:pos="1440"/>
                <w:tab w:val="num" w:pos="845"/>
              </w:tabs>
              <w:ind w:left="845" w:hanging="283"/>
            </w:pPr>
            <w:r w:rsidRPr="00306E4E">
              <w:t xml:space="preserve">Otherwise promote the advancement of education. </w:t>
            </w:r>
          </w:p>
          <w:p w:rsidR="00020902" w:rsidRPr="00306E4E" w:rsidRDefault="00020902" w:rsidP="00020902"/>
          <w:p w:rsidR="00020902" w:rsidRPr="00306E4E" w:rsidRDefault="00020902" w:rsidP="00020902">
            <w:r w:rsidRPr="00306E4E">
              <w:t>In 201</w:t>
            </w:r>
            <w:r w:rsidR="000F0C7D" w:rsidRPr="00306E4E">
              <w:t>5</w:t>
            </w:r>
            <w:r w:rsidRPr="00306E4E">
              <w:t xml:space="preserve"> to 201</w:t>
            </w:r>
            <w:r w:rsidR="000F0C7D" w:rsidRPr="00306E4E">
              <w:t>6</w:t>
            </w:r>
            <w:r w:rsidRPr="00306E4E">
              <w:t>, the British Coun</w:t>
            </w:r>
            <w:r w:rsidR="000F0C7D" w:rsidRPr="00306E4E">
              <w:t>cil had a total turnover of £980</w:t>
            </w:r>
            <w:r w:rsidRPr="00306E4E">
              <w:t xml:space="preserve"> million.  Its income included a grant-aid of £1</w:t>
            </w:r>
            <w:r w:rsidR="000F0C7D" w:rsidRPr="00306E4E">
              <w:t>62</w:t>
            </w:r>
            <w:r w:rsidRPr="00306E4E">
              <w:t xml:space="preserve"> million from the UK government, £</w:t>
            </w:r>
            <w:r w:rsidR="00D36EE9" w:rsidRPr="00306E4E">
              <w:t>568</w:t>
            </w:r>
            <w:r w:rsidRPr="00306E4E">
              <w:t xml:space="preserve"> million from fees and income from se</w:t>
            </w:r>
            <w:r w:rsidR="00D36EE9" w:rsidRPr="00306E4E">
              <w:t>rvices such as English teaching and</w:t>
            </w:r>
            <w:r w:rsidRPr="00306E4E">
              <w:t xml:space="preserve"> exams administration</w:t>
            </w:r>
            <w:r w:rsidR="00D36EE9" w:rsidRPr="00306E4E">
              <w:t>,</w:t>
            </w:r>
            <w:r w:rsidRPr="00306E4E">
              <w:t xml:space="preserve"> and </w:t>
            </w:r>
            <w:r w:rsidR="00D36EE9" w:rsidRPr="00306E4E">
              <w:t xml:space="preserve">funding from </w:t>
            </w:r>
            <w:r w:rsidRPr="00306E4E">
              <w:t>the management of client-funded contracts and from a wide range of public and private sector partners.</w:t>
            </w:r>
          </w:p>
          <w:p w:rsidR="00020902" w:rsidRPr="00306E4E" w:rsidRDefault="00020902" w:rsidP="00020902"/>
          <w:p w:rsidR="00020902" w:rsidRPr="00306E4E" w:rsidRDefault="00020902" w:rsidP="00020902">
            <w:r w:rsidRPr="00306E4E">
              <w:t>The British Council works in more than 110 countries around the world and employs over 7000 staff worldwide.  It has its headquarters in the UK, with offices in London, Manchester, Belfast, Cardiff and Edinburgh.</w:t>
            </w:r>
          </w:p>
          <w:p w:rsidR="00020902" w:rsidRPr="00306E4E" w:rsidRDefault="00020902" w:rsidP="00020902"/>
          <w:p w:rsidR="00020902" w:rsidRPr="00306E4E" w:rsidRDefault="00020902" w:rsidP="00020902">
            <w:r w:rsidRPr="00306E4E">
              <w:t xml:space="preserve">Further information can be found at </w:t>
            </w:r>
            <w:hyperlink r:id="rId9" w:history="1">
              <w:r w:rsidRPr="00306E4E">
                <w:rPr>
                  <w:rStyle w:val="Hyperlink"/>
                </w:rPr>
                <w:t>www.britishcouncil.org</w:t>
              </w:r>
            </w:hyperlink>
          </w:p>
          <w:p w:rsidR="00020902" w:rsidRPr="00306E4E" w:rsidRDefault="00020902" w:rsidP="00020902"/>
        </w:tc>
      </w:tr>
      <w:tr w:rsidR="00020902" w:rsidRPr="008E1649" w:rsidTr="003F5304">
        <w:tc>
          <w:tcPr>
            <w:tcW w:w="1640" w:type="dxa"/>
          </w:tcPr>
          <w:p w:rsidR="00020902" w:rsidRPr="008E1649" w:rsidRDefault="00020902" w:rsidP="00020902">
            <w:pPr>
              <w:rPr>
                <w:b/>
                <w:bCs/>
                <w:sz w:val="22"/>
                <w:szCs w:val="22"/>
              </w:rPr>
            </w:pPr>
          </w:p>
          <w:p w:rsidR="00020902" w:rsidRPr="008E1649" w:rsidRDefault="00020902" w:rsidP="00020902">
            <w:pPr>
              <w:rPr>
                <w:b/>
                <w:bCs/>
                <w:sz w:val="22"/>
                <w:szCs w:val="22"/>
              </w:rPr>
            </w:pPr>
            <w:r w:rsidRPr="008E1649">
              <w:rPr>
                <w:b/>
                <w:bCs/>
                <w:sz w:val="22"/>
                <w:szCs w:val="22"/>
              </w:rPr>
              <w:t>Introduction/</w:t>
            </w:r>
          </w:p>
          <w:p w:rsidR="00020902" w:rsidRPr="008E1649" w:rsidRDefault="00020902" w:rsidP="00020902">
            <w:pPr>
              <w:rPr>
                <w:b/>
                <w:bCs/>
                <w:sz w:val="22"/>
                <w:szCs w:val="22"/>
              </w:rPr>
            </w:pPr>
            <w:r w:rsidRPr="008E1649">
              <w:rPr>
                <w:b/>
                <w:bCs/>
                <w:sz w:val="22"/>
                <w:szCs w:val="22"/>
              </w:rPr>
              <w:t>Background</w:t>
            </w:r>
          </w:p>
          <w:p w:rsidR="00020902" w:rsidRPr="008E1649" w:rsidRDefault="00020902" w:rsidP="00020902">
            <w:pPr>
              <w:rPr>
                <w:b/>
                <w:sz w:val="22"/>
                <w:szCs w:val="22"/>
              </w:rPr>
            </w:pPr>
          </w:p>
        </w:tc>
        <w:tc>
          <w:tcPr>
            <w:tcW w:w="8142" w:type="dxa"/>
          </w:tcPr>
          <w:p w:rsidR="00020902" w:rsidRPr="00306E4E" w:rsidRDefault="00020902" w:rsidP="00020902"/>
          <w:p w:rsidR="002E04A2" w:rsidRPr="00306E4E" w:rsidRDefault="00020902" w:rsidP="0004340A">
            <w:pPr>
              <w:spacing w:after="120"/>
            </w:pPr>
            <w:r w:rsidRPr="00306E4E">
              <w:t xml:space="preserve">The British Council manages a range of programmes for individuals to gain </w:t>
            </w:r>
            <w:r w:rsidR="00F55F86" w:rsidRPr="00306E4E">
              <w:t>practical</w:t>
            </w:r>
            <w:r w:rsidRPr="00306E4E">
              <w:t xml:space="preserve"> experience oversea</w:t>
            </w:r>
            <w:r w:rsidR="00E81194" w:rsidRPr="00306E4E">
              <w:t xml:space="preserve">s.  Some of these opportunities </w:t>
            </w:r>
            <w:r w:rsidRPr="00306E4E">
              <w:t xml:space="preserve">are reciprocal, offering international students the chance to live and work in the UK. </w:t>
            </w:r>
            <w:r w:rsidRPr="00306E4E">
              <w:br/>
            </w:r>
            <w:r w:rsidRPr="00306E4E">
              <w:br/>
            </w:r>
            <w:r w:rsidR="00E52B1E" w:rsidRPr="00306E4E">
              <w:rPr>
                <w:b/>
              </w:rPr>
              <w:t xml:space="preserve">IAESTE </w:t>
            </w:r>
            <w:r w:rsidR="0004340A" w:rsidRPr="00306E4E">
              <w:t>is</w:t>
            </w:r>
            <w:r w:rsidR="00E03D49" w:rsidRPr="00306E4E">
              <w:t xml:space="preserve"> </w:t>
            </w:r>
            <w:r w:rsidR="0004340A" w:rsidRPr="00306E4E">
              <w:t>a</w:t>
            </w:r>
            <w:r w:rsidR="00E03D49" w:rsidRPr="00306E4E">
              <w:t xml:space="preserve"> small scale project currently delivered by the British Council</w:t>
            </w:r>
            <w:r w:rsidR="0004340A" w:rsidRPr="00306E4E">
              <w:t>,</w:t>
            </w:r>
            <w:r w:rsidR="00E03D49" w:rsidRPr="00306E4E">
              <w:t xml:space="preserve"> </w:t>
            </w:r>
            <w:r w:rsidR="001977ED" w:rsidRPr="00306E4E">
              <w:t>facilitat</w:t>
            </w:r>
            <w:r w:rsidR="0004340A" w:rsidRPr="00306E4E">
              <w:t>ing</w:t>
            </w:r>
            <w:r w:rsidRPr="00306E4E">
              <w:t xml:space="preserve"> training placements </w:t>
            </w:r>
            <w:r w:rsidR="0004340A" w:rsidRPr="00306E4E">
              <w:t xml:space="preserve">overseas </w:t>
            </w:r>
            <w:r w:rsidRPr="00306E4E">
              <w:t xml:space="preserve">for </w:t>
            </w:r>
            <w:r w:rsidR="0004340A" w:rsidRPr="00306E4E">
              <w:t xml:space="preserve">UK undergraduate students and for </w:t>
            </w:r>
            <w:r w:rsidRPr="00306E4E">
              <w:t>internation</w:t>
            </w:r>
            <w:r w:rsidR="00C711F3" w:rsidRPr="00306E4E">
              <w:t>al students with</w:t>
            </w:r>
            <w:r w:rsidR="00E52B1E" w:rsidRPr="00306E4E">
              <w:t xml:space="preserve"> UK </w:t>
            </w:r>
            <w:r w:rsidR="0004340A" w:rsidRPr="00306E4E">
              <w:t xml:space="preserve">universities and </w:t>
            </w:r>
            <w:r w:rsidR="00E52B1E" w:rsidRPr="00306E4E">
              <w:t>companies.</w:t>
            </w:r>
            <w:r w:rsidRPr="00306E4E">
              <w:t xml:space="preserve"> </w:t>
            </w:r>
            <w:r w:rsidR="0004340A" w:rsidRPr="00306E4E">
              <w:t xml:space="preserve">In Wales, participation in the programme in recent years has been declining to </w:t>
            </w:r>
            <w:r w:rsidR="00EE1CD6" w:rsidRPr="00306E4E">
              <w:t xml:space="preserve">almost </w:t>
            </w:r>
            <w:r w:rsidR="0004340A" w:rsidRPr="00306E4E">
              <w:t xml:space="preserve">single figure participation each way. </w:t>
            </w:r>
          </w:p>
          <w:p w:rsidR="002E04A2" w:rsidRPr="00306E4E" w:rsidRDefault="002E04A2" w:rsidP="00C711F3"/>
          <w:p w:rsidR="00C711F3" w:rsidRPr="00306E4E" w:rsidRDefault="00C711F3" w:rsidP="00C711F3">
            <w:r w:rsidRPr="00306E4E">
              <w:t xml:space="preserve">There are </w:t>
            </w:r>
            <w:r w:rsidR="00480BC0" w:rsidRPr="00306E4E">
              <w:t>four</w:t>
            </w:r>
            <w:r w:rsidR="002E04A2" w:rsidRPr="00306E4E">
              <w:t xml:space="preserve"> </w:t>
            </w:r>
            <w:r w:rsidR="00E52B1E" w:rsidRPr="00306E4E">
              <w:t xml:space="preserve">key </w:t>
            </w:r>
            <w:r w:rsidRPr="00306E4E">
              <w:t>aims</w:t>
            </w:r>
            <w:r w:rsidR="00E03D49" w:rsidRPr="00306E4E">
              <w:t xml:space="preserve"> of this tender</w:t>
            </w:r>
            <w:r w:rsidRPr="00306E4E">
              <w:t xml:space="preserve">: </w:t>
            </w:r>
          </w:p>
          <w:p w:rsidR="00C711F3" w:rsidRPr="00306E4E" w:rsidRDefault="00C711F3" w:rsidP="00C711F3">
            <w:pPr>
              <w:rPr>
                <w:b/>
              </w:rPr>
            </w:pPr>
            <w:r w:rsidRPr="00306E4E">
              <w:rPr>
                <w:b/>
              </w:rPr>
              <w:t xml:space="preserve">1.  To assess </w:t>
            </w:r>
            <w:r w:rsidR="0004340A" w:rsidRPr="00306E4E">
              <w:rPr>
                <w:b/>
              </w:rPr>
              <w:t xml:space="preserve">whether Welsh businesses are interested in taking international students for work experience placements, including </w:t>
            </w:r>
            <w:r w:rsidR="00480BC0" w:rsidRPr="00306E4E">
              <w:rPr>
                <w:b/>
              </w:rPr>
              <w:t xml:space="preserve">gathering </w:t>
            </w:r>
            <w:r w:rsidR="0004340A" w:rsidRPr="00306E4E">
              <w:rPr>
                <w:b/>
              </w:rPr>
              <w:t>information on perceptions of opportunities and barriers.</w:t>
            </w:r>
          </w:p>
          <w:p w:rsidR="00C711F3" w:rsidRPr="00306E4E" w:rsidRDefault="00C711F3" w:rsidP="00C711F3">
            <w:pPr>
              <w:rPr>
                <w:b/>
              </w:rPr>
            </w:pPr>
            <w:r w:rsidRPr="00306E4E">
              <w:rPr>
                <w:b/>
              </w:rPr>
              <w:t xml:space="preserve">2.  </w:t>
            </w:r>
            <w:r w:rsidR="0004340A" w:rsidRPr="00306E4E">
              <w:rPr>
                <w:b/>
              </w:rPr>
              <w:t>To assess whether Welsh businesses are prepared to pay for taking on an international student for a work experience placement.</w:t>
            </w:r>
          </w:p>
          <w:p w:rsidR="0004340A" w:rsidRPr="00306E4E" w:rsidRDefault="0004340A" w:rsidP="00C711F3">
            <w:pPr>
              <w:rPr>
                <w:b/>
              </w:rPr>
            </w:pPr>
            <w:r w:rsidRPr="00306E4E">
              <w:rPr>
                <w:b/>
              </w:rPr>
              <w:t xml:space="preserve">3.  To assess the suitability of the IAESTE programme to facilitate international </w:t>
            </w:r>
            <w:r w:rsidRPr="00306E4E">
              <w:rPr>
                <w:b/>
              </w:rPr>
              <w:lastRenderedPageBreak/>
              <w:t>work placements for Welsh businesses.</w:t>
            </w:r>
          </w:p>
          <w:p w:rsidR="00C711F3" w:rsidRPr="00306E4E" w:rsidRDefault="0004340A" w:rsidP="00C711F3">
            <w:pPr>
              <w:rPr>
                <w:b/>
              </w:rPr>
            </w:pPr>
            <w:r w:rsidRPr="00306E4E">
              <w:rPr>
                <w:b/>
              </w:rPr>
              <w:t xml:space="preserve">4.  To create a database of employers potentially interested in participating in the IAESTE programme. </w:t>
            </w:r>
          </w:p>
          <w:p w:rsidR="002E04A2" w:rsidRPr="00306E4E" w:rsidRDefault="002E04A2" w:rsidP="00C711F3">
            <w:pPr>
              <w:rPr>
                <w:b/>
              </w:rPr>
            </w:pPr>
          </w:p>
          <w:p w:rsidR="00E81194" w:rsidRPr="00306E4E" w:rsidRDefault="00E81194" w:rsidP="00C711F3"/>
          <w:p w:rsidR="00450C53" w:rsidRPr="00306E4E" w:rsidRDefault="00E81194" w:rsidP="00020902">
            <w:pPr>
              <w:spacing w:after="120"/>
              <w:rPr>
                <w:b/>
              </w:rPr>
            </w:pPr>
            <w:r w:rsidRPr="00306E4E">
              <w:rPr>
                <w:b/>
              </w:rPr>
              <w:t>Background</w:t>
            </w:r>
          </w:p>
          <w:p w:rsidR="00020902" w:rsidRPr="00306E4E" w:rsidRDefault="002E04A2" w:rsidP="00020902">
            <w:pPr>
              <w:spacing w:after="120"/>
            </w:pPr>
            <w:r w:rsidRPr="00306E4E">
              <w:rPr>
                <w:b/>
              </w:rPr>
              <w:t>IAESTE</w:t>
            </w:r>
            <w:r w:rsidRPr="00306E4E">
              <w:t xml:space="preserve"> is </w:t>
            </w:r>
            <w:r w:rsidR="00E52B1E" w:rsidRPr="00306E4E">
              <w:t>t</w:t>
            </w:r>
            <w:r w:rsidR="00020902" w:rsidRPr="00306E4E">
              <w:t>he International Association for the Exchange of Students f</w:t>
            </w:r>
            <w:r w:rsidRPr="00306E4E">
              <w:t>or Technical Experience and</w:t>
            </w:r>
            <w:r w:rsidR="00020902" w:rsidRPr="00306E4E">
              <w:t xml:space="preserve"> offers paid work based training opportunities for students in STEM</w:t>
            </w:r>
            <w:r w:rsidR="007C275A" w:rsidRPr="00306E4E">
              <w:t xml:space="preserve"> and applied arts</w:t>
            </w:r>
            <w:r w:rsidR="00020902" w:rsidRPr="00306E4E">
              <w:t xml:space="preserve"> related subjects in</w:t>
            </w:r>
            <w:r w:rsidR="00E52B1E" w:rsidRPr="00306E4E">
              <w:t xml:space="preserve"> both the UK and in </w:t>
            </w:r>
            <w:r w:rsidR="007C275A" w:rsidRPr="00306E4E">
              <w:t xml:space="preserve">over </w:t>
            </w:r>
            <w:r w:rsidR="00020902" w:rsidRPr="00306E4E">
              <w:t>80 countries worldwide.</w:t>
            </w:r>
          </w:p>
          <w:p w:rsidR="004F0AD0" w:rsidRPr="00306E4E" w:rsidRDefault="00EE1CD6" w:rsidP="00020902">
            <w:pPr>
              <w:spacing w:after="120"/>
            </w:pPr>
            <w:r w:rsidRPr="00306E4E">
              <w:t xml:space="preserve">The </w:t>
            </w:r>
            <w:r w:rsidR="00020902" w:rsidRPr="00306E4E">
              <w:t>British Council is a member of the Association and manage</w:t>
            </w:r>
            <w:r w:rsidR="007C275A" w:rsidRPr="00306E4E">
              <w:t>s</w:t>
            </w:r>
            <w:r w:rsidR="00020902" w:rsidRPr="00306E4E">
              <w:t xml:space="preserve"> the delivery of IAESTE in the UK with funding support from UK government departments.  </w:t>
            </w:r>
          </w:p>
          <w:p w:rsidR="00480BC0" w:rsidRPr="00306E4E" w:rsidRDefault="007C275A" w:rsidP="00020902">
            <w:pPr>
              <w:spacing w:after="120"/>
            </w:pPr>
            <w:r w:rsidRPr="00306E4E">
              <w:t>The funding from the Welsh Government for the Wales component of the IAESTE programme is part of a larger International Education Programmes (IEP) contract. Over the last few years funding has been provided for programme and staff costs with the target of sending 15 Wales students out and bringing 15 int</w:t>
            </w:r>
            <w:r w:rsidR="00480BC0" w:rsidRPr="00306E4E">
              <w:t xml:space="preserve">ernational students into Wales in </w:t>
            </w:r>
            <w:r w:rsidRPr="00306E4E">
              <w:t>2013-14 and 2014-15</w:t>
            </w:r>
            <w:r w:rsidR="00480BC0" w:rsidRPr="00306E4E">
              <w:t>,</w:t>
            </w:r>
            <w:r w:rsidRPr="00306E4E">
              <w:t xml:space="preserve"> and the target of 10 each way </w:t>
            </w:r>
            <w:r w:rsidR="00480BC0" w:rsidRPr="00306E4E">
              <w:t xml:space="preserve">in </w:t>
            </w:r>
            <w:r w:rsidRPr="00306E4E">
              <w:t>2015-16 and 2017-18. For the financial year 2017-18 the Welsh Government has reduced the funding for the IAESTE programme, with the aim of ceasing all funding after that. </w:t>
            </w:r>
          </w:p>
          <w:p w:rsidR="00020902" w:rsidRPr="00306E4E" w:rsidRDefault="00480BC0" w:rsidP="00020902">
            <w:pPr>
              <w:spacing w:after="120"/>
            </w:pPr>
            <w:r w:rsidRPr="00306E4E">
              <w:t xml:space="preserve">For the last few years, placements in Wales have been offered by university departments, with very few placements offered by businesses. </w:t>
            </w:r>
            <w:r w:rsidR="007C275A" w:rsidRPr="00306E4E">
              <w:t xml:space="preserve">The British Council wants to assess whether there is </w:t>
            </w:r>
            <w:r w:rsidRPr="00306E4E">
              <w:t>an appetite from Welsh businesses</w:t>
            </w:r>
            <w:r w:rsidR="007C275A" w:rsidRPr="00306E4E">
              <w:t xml:space="preserve"> for the IAESTE programme and the services it provides, in order to determine whether to continue funding the programme in Wales from other income sources. </w:t>
            </w:r>
          </w:p>
          <w:p w:rsidR="00020902" w:rsidRPr="00306E4E" w:rsidRDefault="00020902" w:rsidP="00020902">
            <w:pPr>
              <w:spacing w:after="120"/>
            </w:pPr>
            <w:r w:rsidRPr="00306E4E">
              <w:t xml:space="preserve">For programme information see </w:t>
            </w:r>
            <w:hyperlink r:id="rId10" w:history="1">
              <w:r w:rsidRPr="00306E4E">
                <w:rPr>
                  <w:rStyle w:val="Hyperlink"/>
                </w:rPr>
                <w:t>www.britishcouncil.org/iaeste</w:t>
              </w:r>
            </w:hyperlink>
            <w:r w:rsidRPr="00306E4E">
              <w:t xml:space="preserve"> </w:t>
            </w:r>
          </w:p>
          <w:p w:rsidR="00020902" w:rsidRPr="00306E4E" w:rsidRDefault="00020902" w:rsidP="00304B7D"/>
        </w:tc>
      </w:tr>
      <w:tr w:rsidR="00020902" w:rsidRPr="008E1649" w:rsidTr="003F5304">
        <w:tc>
          <w:tcPr>
            <w:tcW w:w="1640" w:type="dxa"/>
          </w:tcPr>
          <w:p w:rsidR="00020902" w:rsidRPr="008E1649" w:rsidRDefault="00020902" w:rsidP="00020902">
            <w:pPr>
              <w:rPr>
                <w:b/>
                <w:bCs/>
                <w:sz w:val="22"/>
                <w:szCs w:val="22"/>
              </w:rPr>
            </w:pPr>
          </w:p>
          <w:p w:rsidR="00020902" w:rsidRPr="008E1649" w:rsidRDefault="00020902" w:rsidP="00020902">
            <w:pPr>
              <w:rPr>
                <w:b/>
                <w:bCs/>
                <w:sz w:val="22"/>
                <w:szCs w:val="22"/>
              </w:rPr>
            </w:pPr>
            <w:r w:rsidRPr="008E1649">
              <w:rPr>
                <w:b/>
                <w:bCs/>
                <w:sz w:val="22"/>
                <w:szCs w:val="22"/>
              </w:rPr>
              <w:t>Scope of work /Specification</w:t>
            </w:r>
          </w:p>
          <w:p w:rsidR="00020902" w:rsidRPr="008E1649" w:rsidRDefault="00020902" w:rsidP="00020902">
            <w:pPr>
              <w:rPr>
                <w:b/>
                <w:bCs/>
                <w:sz w:val="22"/>
                <w:szCs w:val="22"/>
              </w:rPr>
            </w:pPr>
            <w:r w:rsidRPr="008E1649">
              <w:rPr>
                <w:b/>
                <w:bCs/>
                <w:sz w:val="22"/>
                <w:szCs w:val="22"/>
              </w:rPr>
              <w:t>/Outputs</w:t>
            </w:r>
          </w:p>
          <w:p w:rsidR="00020902" w:rsidRPr="008E1649" w:rsidRDefault="00020902" w:rsidP="00020902">
            <w:pPr>
              <w:rPr>
                <w:b/>
                <w:bCs/>
                <w:sz w:val="22"/>
                <w:szCs w:val="22"/>
              </w:rPr>
            </w:pPr>
          </w:p>
        </w:tc>
        <w:tc>
          <w:tcPr>
            <w:tcW w:w="8142" w:type="dxa"/>
          </w:tcPr>
          <w:p w:rsidR="006D700D" w:rsidRPr="00306E4E" w:rsidRDefault="00020902" w:rsidP="00020902">
            <w:pPr>
              <w:rPr>
                <w:b/>
              </w:rPr>
            </w:pPr>
            <w:r w:rsidRPr="00306E4E">
              <w:rPr>
                <w:b/>
              </w:rPr>
              <w:t>Scope of Work</w:t>
            </w:r>
            <w:r w:rsidR="00675990" w:rsidRPr="00306E4E">
              <w:rPr>
                <w:b/>
              </w:rPr>
              <w:t xml:space="preserve"> </w:t>
            </w:r>
          </w:p>
          <w:p w:rsidR="00020902" w:rsidRPr="00306E4E" w:rsidRDefault="00020902" w:rsidP="00020902"/>
          <w:p w:rsidR="00020902" w:rsidRPr="00306E4E" w:rsidRDefault="006D700D" w:rsidP="00020902">
            <w:r w:rsidRPr="00306E4E">
              <w:t>As part of this exercise t</w:t>
            </w:r>
            <w:r w:rsidR="00020902" w:rsidRPr="00306E4E">
              <w:t xml:space="preserve">he </w:t>
            </w:r>
            <w:r w:rsidR="00D82BFB">
              <w:t>Consultant</w:t>
            </w:r>
            <w:r w:rsidR="00020902" w:rsidRPr="00306E4E">
              <w:t xml:space="preserve"> shall conduct a market analysis of the opportunity for thi</w:t>
            </w:r>
            <w:r w:rsidRPr="00306E4E">
              <w:t xml:space="preserve">s type of service, with a focus on </w:t>
            </w:r>
            <w:r w:rsidR="00020902" w:rsidRPr="00306E4E">
              <w:t>businesses in the science, technology, engineering and m</w:t>
            </w:r>
            <w:r w:rsidR="00480BC0" w:rsidRPr="00306E4E">
              <w:t>athematics sector (STEM) in Wales</w:t>
            </w:r>
            <w:r w:rsidR="00020902" w:rsidRPr="00306E4E">
              <w:t xml:space="preserve">.  </w:t>
            </w:r>
          </w:p>
          <w:p w:rsidR="00020902" w:rsidRPr="00306E4E" w:rsidRDefault="00020902" w:rsidP="00020902"/>
          <w:p w:rsidR="00020902" w:rsidRPr="00306E4E" w:rsidRDefault="00020902" w:rsidP="00020902">
            <w:r w:rsidRPr="00306E4E">
              <w:t xml:space="preserve">The </w:t>
            </w:r>
            <w:r w:rsidR="00D82BFB">
              <w:t>Consultant</w:t>
            </w:r>
            <w:r w:rsidRPr="00306E4E">
              <w:t xml:space="preserve"> shall also gather data from employers on the value and benefit of interna</w:t>
            </w:r>
            <w:r w:rsidR="006D700D" w:rsidRPr="00306E4E">
              <w:t>tional placement services</w:t>
            </w:r>
            <w:r w:rsidRPr="00306E4E">
              <w:t>.</w:t>
            </w:r>
            <w:r w:rsidR="006D700D" w:rsidRPr="00306E4E">
              <w:t xml:space="preserve">  This review should</w:t>
            </w:r>
            <w:r w:rsidR="00F83848" w:rsidRPr="00306E4E">
              <w:t xml:space="preserve"> assess any potential barriers to empl</w:t>
            </w:r>
            <w:r w:rsidR="006D700D" w:rsidRPr="00306E4E">
              <w:t>oyer engagement with the scheme and identify potential marketing opportunitie</w:t>
            </w:r>
            <w:r w:rsidR="001A02D6" w:rsidRPr="00306E4E">
              <w:t>s; including a bank of key messages that can be used to target future employers.</w:t>
            </w:r>
          </w:p>
          <w:p w:rsidR="009326D5" w:rsidRPr="00306E4E" w:rsidRDefault="009326D5" w:rsidP="00020902"/>
          <w:p w:rsidR="006D700D" w:rsidRPr="00306E4E" w:rsidRDefault="006D700D" w:rsidP="00020902">
            <w:r w:rsidRPr="00306E4E">
              <w:t>The final report should provide a comprehensive analysis of the</w:t>
            </w:r>
            <w:r w:rsidR="001A02D6" w:rsidRPr="00306E4E">
              <w:t xml:space="preserve"> overall viability of </w:t>
            </w:r>
            <w:r w:rsidR="00C0114D" w:rsidRPr="00306E4E">
              <w:t>continuing with the IAESTE programme in Wales, including a database of employers potentially interested in participating in the IAESTE programme</w:t>
            </w:r>
            <w:r w:rsidR="001A02D6" w:rsidRPr="00306E4E">
              <w:t xml:space="preserve">.   </w:t>
            </w:r>
          </w:p>
          <w:p w:rsidR="001A02D6" w:rsidRPr="00306E4E" w:rsidRDefault="001A02D6" w:rsidP="006D700D"/>
          <w:p w:rsidR="00FF3459" w:rsidRPr="00306E4E" w:rsidRDefault="00FF3459" w:rsidP="006D700D"/>
          <w:p w:rsidR="00020902" w:rsidRPr="00306E4E" w:rsidRDefault="00020902" w:rsidP="00020902"/>
          <w:p w:rsidR="00020902" w:rsidRPr="00306E4E" w:rsidRDefault="00020902" w:rsidP="00020902">
            <w:pPr>
              <w:spacing w:after="120"/>
              <w:rPr>
                <w:b/>
              </w:rPr>
            </w:pPr>
            <w:r w:rsidRPr="00306E4E">
              <w:rPr>
                <w:b/>
              </w:rPr>
              <w:t>Specification</w:t>
            </w:r>
          </w:p>
          <w:p w:rsidR="00020902" w:rsidRPr="00306E4E" w:rsidRDefault="00020902" w:rsidP="00020902">
            <w:pPr>
              <w:spacing w:after="120"/>
            </w:pPr>
            <w:r w:rsidRPr="00306E4E">
              <w:t xml:space="preserve">The </w:t>
            </w:r>
            <w:r w:rsidR="00D82BFB">
              <w:t>Consultant</w:t>
            </w:r>
            <w:r w:rsidRPr="00306E4E">
              <w:t xml:space="preserve"> will be required to:</w:t>
            </w:r>
          </w:p>
          <w:p w:rsidR="00020902" w:rsidRPr="00306E4E" w:rsidRDefault="00020902" w:rsidP="00020902">
            <w:r w:rsidRPr="00306E4E">
              <w:rPr>
                <w:b/>
              </w:rPr>
              <w:t>1.</w:t>
            </w:r>
            <w:r w:rsidRPr="00306E4E">
              <w:t xml:space="preserve"> Conduct a literature review of a range of internally available documentation </w:t>
            </w:r>
            <w:r w:rsidR="00C0114D" w:rsidRPr="00306E4E">
              <w:t>including</w:t>
            </w:r>
            <w:r w:rsidRPr="00306E4E">
              <w:t xml:space="preserve"> evaluation reports, which will be provided by the British Council to the successful Supplier.  </w:t>
            </w:r>
          </w:p>
          <w:p w:rsidR="00020902" w:rsidRPr="00306E4E" w:rsidRDefault="00020902" w:rsidP="00020902">
            <w:r w:rsidRPr="00306E4E">
              <w:rPr>
                <w:b/>
              </w:rPr>
              <w:t>2.</w:t>
            </w:r>
            <w:r w:rsidRPr="00306E4E">
              <w:t xml:space="preserve"> </w:t>
            </w:r>
            <w:r w:rsidR="00EE1CD6" w:rsidRPr="00306E4E">
              <w:t>Design a questionnaire and c</w:t>
            </w:r>
            <w:r w:rsidRPr="00306E4E">
              <w:t xml:space="preserve">onduct interviews with </w:t>
            </w:r>
            <w:r w:rsidR="00C0114D" w:rsidRPr="00306E4E">
              <w:t>Welsh businesses who have an international interest or are interesting in engaging globally to assess the interest and will</w:t>
            </w:r>
            <w:r w:rsidR="00644C0C" w:rsidRPr="00306E4E">
              <w:t>ing</w:t>
            </w:r>
            <w:r w:rsidR="00C0114D" w:rsidRPr="00306E4E">
              <w:t xml:space="preserve"> to pay to host international trainees</w:t>
            </w:r>
            <w:r w:rsidRPr="00306E4E">
              <w:t xml:space="preserve"> </w:t>
            </w:r>
            <w:r w:rsidR="00236026" w:rsidRPr="00306E4E">
              <w:t>(by phone, S</w:t>
            </w:r>
            <w:r w:rsidRPr="00306E4E">
              <w:t>kype or face to face)</w:t>
            </w:r>
            <w:r w:rsidR="00C0114D" w:rsidRPr="00306E4E">
              <w:t>.</w:t>
            </w:r>
          </w:p>
          <w:p w:rsidR="00020902" w:rsidRPr="00306E4E" w:rsidRDefault="00C0114D" w:rsidP="00EE1CD6">
            <w:r w:rsidRPr="00306E4E">
              <w:rPr>
                <w:b/>
              </w:rPr>
              <w:t>3</w:t>
            </w:r>
            <w:r w:rsidR="00020902" w:rsidRPr="00306E4E">
              <w:rPr>
                <w:b/>
              </w:rPr>
              <w:t>.</w:t>
            </w:r>
            <w:r w:rsidR="00020902" w:rsidRPr="00306E4E">
              <w:t xml:space="preserve"> Identify types of impact and benefit of international placements within the </w:t>
            </w:r>
            <w:r w:rsidRPr="00306E4E">
              <w:t>Welsh</w:t>
            </w:r>
            <w:r w:rsidR="00020902" w:rsidRPr="00306E4E">
              <w:t xml:space="preserve"> businesses and present key messages. </w:t>
            </w:r>
          </w:p>
          <w:p w:rsidR="00020902" w:rsidRPr="00306E4E" w:rsidRDefault="00C0114D" w:rsidP="00EE1CD6">
            <w:r w:rsidRPr="00306E4E">
              <w:rPr>
                <w:b/>
              </w:rPr>
              <w:t>4</w:t>
            </w:r>
            <w:r w:rsidR="002D4B7F" w:rsidRPr="00306E4E">
              <w:rPr>
                <w:b/>
              </w:rPr>
              <w:t>.</w:t>
            </w:r>
            <w:r w:rsidR="002D4B7F" w:rsidRPr="00306E4E">
              <w:t xml:space="preserve"> </w:t>
            </w:r>
            <w:r w:rsidR="00020902" w:rsidRPr="00306E4E">
              <w:t>C</w:t>
            </w:r>
            <w:r w:rsidR="00F43B77" w:rsidRPr="00306E4E">
              <w:t xml:space="preserve">ollate and structure a report </w:t>
            </w:r>
            <w:r w:rsidR="005C2542" w:rsidRPr="00306E4E">
              <w:t xml:space="preserve">in response to the four </w:t>
            </w:r>
            <w:r w:rsidR="00A731E3" w:rsidRPr="00306E4E">
              <w:t xml:space="preserve">key </w:t>
            </w:r>
            <w:r w:rsidR="005C2542" w:rsidRPr="00306E4E">
              <w:t xml:space="preserve">aims </w:t>
            </w:r>
            <w:r w:rsidR="00A731E3" w:rsidRPr="00306E4E">
              <w:t xml:space="preserve">of the tender </w:t>
            </w:r>
            <w:r w:rsidR="005C2542" w:rsidRPr="00306E4E">
              <w:t xml:space="preserve">and </w:t>
            </w:r>
            <w:r w:rsidR="00F43B77" w:rsidRPr="00306E4E">
              <w:t>summarizing the points outlined above</w:t>
            </w:r>
            <w:r w:rsidRPr="00306E4E">
              <w:t>, along with a database of potential employers</w:t>
            </w:r>
            <w:r w:rsidR="00F43B77" w:rsidRPr="00306E4E">
              <w:t>.</w:t>
            </w:r>
          </w:p>
          <w:p w:rsidR="00020902" w:rsidRPr="00306E4E" w:rsidRDefault="00020902" w:rsidP="00020902"/>
          <w:p w:rsidR="00020902" w:rsidRPr="00306E4E" w:rsidRDefault="00020902" w:rsidP="00020902">
            <w:pPr>
              <w:rPr>
                <w:b/>
              </w:rPr>
            </w:pPr>
            <w:r w:rsidRPr="00306E4E">
              <w:rPr>
                <w:b/>
              </w:rPr>
              <w:t>Outputs</w:t>
            </w:r>
          </w:p>
          <w:p w:rsidR="00020902" w:rsidRPr="00306E4E" w:rsidRDefault="00020902" w:rsidP="00306E4E"/>
          <w:p w:rsidR="00020902" w:rsidRPr="00306E4E" w:rsidRDefault="00020902" w:rsidP="00306E4E">
            <w:pPr>
              <w:numPr>
                <w:ilvl w:val="0"/>
                <w:numId w:val="11"/>
              </w:numPr>
            </w:pPr>
            <w:r w:rsidRPr="00306E4E">
              <w:t>Written PDF report for British Council internal use</w:t>
            </w:r>
            <w:r w:rsidR="003226C3" w:rsidRPr="00306E4E">
              <w:t xml:space="preserve"> to be submitted by </w:t>
            </w:r>
            <w:r w:rsidR="003226C3" w:rsidRPr="00BF701C">
              <w:t xml:space="preserve">the </w:t>
            </w:r>
            <w:r w:rsidR="00BF701C" w:rsidRPr="00BF701C">
              <w:rPr>
                <w:b/>
              </w:rPr>
              <w:t>2nd</w:t>
            </w:r>
            <w:r w:rsidR="00C0114D" w:rsidRPr="00BF701C">
              <w:rPr>
                <w:b/>
              </w:rPr>
              <w:t xml:space="preserve"> of </w:t>
            </w:r>
            <w:r w:rsidR="00BF701C" w:rsidRPr="00BF701C">
              <w:rPr>
                <w:b/>
              </w:rPr>
              <w:lastRenderedPageBreak/>
              <w:t>June</w:t>
            </w:r>
            <w:r w:rsidR="003226C3" w:rsidRPr="00BF701C">
              <w:rPr>
                <w:b/>
              </w:rPr>
              <w:t xml:space="preserve"> </w:t>
            </w:r>
            <w:r w:rsidR="00C0114D" w:rsidRPr="00BF701C">
              <w:rPr>
                <w:b/>
              </w:rPr>
              <w:t>20</w:t>
            </w:r>
            <w:r w:rsidR="003226C3" w:rsidRPr="00BF701C">
              <w:rPr>
                <w:b/>
              </w:rPr>
              <w:t>1</w:t>
            </w:r>
            <w:r w:rsidR="00C0114D" w:rsidRPr="00BF701C">
              <w:rPr>
                <w:b/>
              </w:rPr>
              <w:t>7</w:t>
            </w:r>
            <w:r w:rsidRPr="00BF701C">
              <w:t xml:space="preserve">, in an appropriate format to be agreed between the </w:t>
            </w:r>
            <w:r w:rsidR="00D82BFB">
              <w:t>Consultant</w:t>
            </w:r>
            <w:r w:rsidRPr="00BF701C">
              <w:t xml:space="preserve"> </w:t>
            </w:r>
            <w:r w:rsidRPr="00306E4E">
              <w:t>and the British Council, to include as</w:t>
            </w:r>
            <w:r w:rsidR="003E5806" w:rsidRPr="00306E4E">
              <w:t xml:space="preserve"> a</w:t>
            </w:r>
            <w:r w:rsidRPr="00306E4E">
              <w:t xml:space="preserve"> minimum:</w:t>
            </w:r>
          </w:p>
          <w:p w:rsidR="00020902" w:rsidRPr="00306E4E" w:rsidRDefault="00020902" w:rsidP="00306E4E">
            <w:pPr>
              <w:numPr>
                <w:ilvl w:val="0"/>
                <w:numId w:val="12"/>
              </w:numPr>
            </w:pPr>
            <w:r w:rsidRPr="00306E4E">
              <w:t>Executive summary</w:t>
            </w:r>
          </w:p>
          <w:p w:rsidR="00020902" w:rsidRPr="00306E4E" w:rsidRDefault="00020902" w:rsidP="00306E4E">
            <w:pPr>
              <w:numPr>
                <w:ilvl w:val="0"/>
                <w:numId w:val="12"/>
              </w:numPr>
            </w:pPr>
            <w:r w:rsidRPr="00306E4E">
              <w:t>Methodology</w:t>
            </w:r>
          </w:p>
          <w:p w:rsidR="00020902" w:rsidRPr="00306E4E" w:rsidRDefault="00020902" w:rsidP="00306E4E">
            <w:pPr>
              <w:numPr>
                <w:ilvl w:val="0"/>
                <w:numId w:val="12"/>
              </w:numPr>
            </w:pPr>
            <w:r w:rsidRPr="00306E4E">
              <w:t>Key findings</w:t>
            </w:r>
          </w:p>
          <w:p w:rsidR="00C0114D" w:rsidRPr="00306E4E" w:rsidRDefault="00020902" w:rsidP="00306E4E">
            <w:pPr>
              <w:numPr>
                <w:ilvl w:val="0"/>
                <w:numId w:val="12"/>
              </w:numPr>
            </w:pPr>
            <w:r w:rsidRPr="00306E4E">
              <w:t>Market opportunity</w:t>
            </w:r>
          </w:p>
          <w:p w:rsidR="00020902" w:rsidRPr="00306E4E" w:rsidRDefault="00020902" w:rsidP="00306E4E">
            <w:pPr>
              <w:numPr>
                <w:ilvl w:val="0"/>
                <w:numId w:val="12"/>
              </w:numPr>
            </w:pPr>
            <w:r w:rsidRPr="00306E4E">
              <w:t>Present key messages: grouped and browsable by different types as above, referenced and supported by data, case studies, quotes etc.</w:t>
            </w:r>
          </w:p>
          <w:p w:rsidR="00306E4E" w:rsidRPr="00306E4E" w:rsidRDefault="00306E4E" w:rsidP="00306E4E"/>
          <w:p w:rsidR="00944D40" w:rsidRPr="00306E4E" w:rsidRDefault="00C0114D" w:rsidP="00306E4E">
            <w:pPr>
              <w:pStyle w:val="ListParagraph"/>
              <w:numPr>
                <w:ilvl w:val="0"/>
                <w:numId w:val="11"/>
              </w:numPr>
              <w:spacing w:after="0" w:line="240" w:lineRule="auto"/>
              <w:rPr>
                <w:rFonts w:ascii="Arial" w:hAnsi="Arial" w:cs="Arial"/>
                <w:sz w:val="20"/>
                <w:szCs w:val="20"/>
              </w:rPr>
            </w:pPr>
            <w:r w:rsidRPr="00306E4E">
              <w:rPr>
                <w:rFonts w:ascii="Arial" w:hAnsi="Arial" w:cs="Arial"/>
                <w:sz w:val="20"/>
                <w:szCs w:val="20"/>
              </w:rPr>
              <w:t>Database of potential employers</w:t>
            </w:r>
          </w:p>
          <w:p w:rsidR="00020902" w:rsidRPr="00306E4E" w:rsidRDefault="00020902" w:rsidP="00306E4E"/>
          <w:p w:rsidR="00020902" w:rsidRPr="00306E4E" w:rsidRDefault="00020902" w:rsidP="00306E4E">
            <w:pPr>
              <w:numPr>
                <w:ilvl w:val="0"/>
                <w:numId w:val="11"/>
              </w:numPr>
            </w:pPr>
            <w:r w:rsidRPr="00306E4E">
              <w:t xml:space="preserve">Verbal presentation to British Council staff of main findings by meeting or telephone (date to be confirmed) </w:t>
            </w:r>
          </w:p>
          <w:p w:rsidR="00020902" w:rsidRPr="00306E4E" w:rsidRDefault="00020902" w:rsidP="00306E4E"/>
          <w:p w:rsidR="00020902" w:rsidRPr="00306E4E" w:rsidRDefault="00020902" w:rsidP="00020902">
            <w:pPr>
              <w:spacing w:after="120"/>
              <w:rPr>
                <w:b/>
              </w:rPr>
            </w:pPr>
            <w:r w:rsidRPr="00306E4E">
              <w:rPr>
                <w:b/>
              </w:rPr>
              <w:t>Qualifications and Skills Required</w:t>
            </w:r>
          </w:p>
          <w:p w:rsidR="00020902" w:rsidRPr="00306E4E" w:rsidRDefault="00020902" w:rsidP="00020902">
            <w:pPr>
              <w:pStyle w:val="ListParagraph"/>
              <w:numPr>
                <w:ilvl w:val="0"/>
                <w:numId w:val="9"/>
              </w:numPr>
              <w:spacing w:after="120" w:line="240" w:lineRule="auto"/>
              <w:ind w:left="279" w:hanging="284"/>
              <w:rPr>
                <w:rFonts w:ascii="Arial" w:hAnsi="Arial" w:cs="Arial"/>
                <w:sz w:val="20"/>
                <w:szCs w:val="20"/>
              </w:rPr>
            </w:pPr>
            <w:r w:rsidRPr="00306E4E">
              <w:rPr>
                <w:rFonts w:ascii="Arial" w:hAnsi="Arial" w:cs="Arial"/>
                <w:sz w:val="20"/>
                <w:szCs w:val="20"/>
              </w:rPr>
              <w:t>The ability to filter large amounts of information, draw relevant conclusions and present them i</w:t>
            </w:r>
            <w:r w:rsidR="00F55F86" w:rsidRPr="00306E4E">
              <w:rPr>
                <w:rFonts w:ascii="Arial" w:hAnsi="Arial" w:cs="Arial"/>
                <w:sz w:val="20"/>
                <w:szCs w:val="20"/>
              </w:rPr>
              <w:t xml:space="preserve">n a suitable format </w:t>
            </w:r>
          </w:p>
          <w:p w:rsidR="00020902" w:rsidRPr="00306E4E" w:rsidRDefault="00020902" w:rsidP="00020902">
            <w:pPr>
              <w:pStyle w:val="ListParagraph"/>
              <w:numPr>
                <w:ilvl w:val="0"/>
                <w:numId w:val="9"/>
              </w:numPr>
              <w:spacing w:after="120" w:line="240" w:lineRule="auto"/>
              <w:ind w:left="279" w:hanging="284"/>
              <w:rPr>
                <w:rFonts w:ascii="Arial" w:hAnsi="Arial" w:cs="Arial"/>
                <w:sz w:val="20"/>
                <w:szCs w:val="20"/>
              </w:rPr>
            </w:pPr>
            <w:r w:rsidRPr="00306E4E">
              <w:rPr>
                <w:rFonts w:ascii="Arial" w:hAnsi="Arial" w:cs="Arial"/>
                <w:sz w:val="20"/>
                <w:szCs w:val="20"/>
              </w:rPr>
              <w:t>Training and/o</w:t>
            </w:r>
            <w:r w:rsidR="00F55F86" w:rsidRPr="00306E4E">
              <w:rPr>
                <w:rFonts w:ascii="Arial" w:hAnsi="Arial" w:cs="Arial"/>
                <w:sz w:val="20"/>
                <w:szCs w:val="20"/>
              </w:rPr>
              <w:t>r experience in market research</w:t>
            </w:r>
            <w:r w:rsidRPr="00306E4E">
              <w:rPr>
                <w:rFonts w:ascii="Arial" w:hAnsi="Arial" w:cs="Arial"/>
                <w:sz w:val="20"/>
                <w:szCs w:val="20"/>
              </w:rPr>
              <w:t xml:space="preserve"> </w:t>
            </w:r>
          </w:p>
          <w:p w:rsidR="00020902" w:rsidRPr="00306E4E" w:rsidRDefault="00020902" w:rsidP="00020902">
            <w:pPr>
              <w:pStyle w:val="ListParagraph"/>
              <w:numPr>
                <w:ilvl w:val="0"/>
                <w:numId w:val="9"/>
              </w:numPr>
              <w:spacing w:after="120" w:line="240" w:lineRule="auto"/>
              <w:ind w:left="278" w:hanging="278"/>
              <w:rPr>
                <w:rFonts w:ascii="Arial" w:hAnsi="Arial" w:cs="Arial"/>
                <w:iCs/>
                <w:sz w:val="20"/>
                <w:szCs w:val="20"/>
              </w:rPr>
            </w:pPr>
            <w:r w:rsidRPr="00306E4E">
              <w:rPr>
                <w:rFonts w:ascii="Arial" w:hAnsi="Arial" w:cs="Arial"/>
                <w:iCs/>
                <w:sz w:val="20"/>
                <w:szCs w:val="20"/>
              </w:rPr>
              <w:t xml:space="preserve">Experience of drafting and producing written reports to include appropriate/relevant content/detail </w:t>
            </w:r>
          </w:p>
          <w:p w:rsidR="00020902" w:rsidRPr="00306E4E" w:rsidRDefault="00020902" w:rsidP="00020902">
            <w:pPr>
              <w:pStyle w:val="ListParagraph"/>
              <w:numPr>
                <w:ilvl w:val="0"/>
                <w:numId w:val="9"/>
              </w:numPr>
              <w:spacing w:after="120" w:line="240" w:lineRule="auto"/>
              <w:ind w:left="278" w:hanging="278"/>
              <w:rPr>
                <w:rFonts w:ascii="Arial" w:hAnsi="Arial" w:cs="Arial"/>
                <w:sz w:val="20"/>
                <w:szCs w:val="20"/>
              </w:rPr>
            </w:pPr>
            <w:r w:rsidRPr="00306E4E">
              <w:rPr>
                <w:rFonts w:ascii="Arial" w:hAnsi="Arial" w:cs="Arial"/>
                <w:iCs/>
                <w:sz w:val="20"/>
                <w:szCs w:val="20"/>
              </w:rPr>
              <w:t xml:space="preserve">Fluent in English </w:t>
            </w:r>
          </w:p>
          <w:p w:rsidR="001A02D6" w:rsidRPr="00306E4E" w:rsidRDefault="00020902" w:rsidP="00020902">
            <w:pPr>
              <w:pStyle w:val="ListParagraph"/>
              <w:numPr>
                <w:ilvl w:val="0"/>
                <w:numId w:val="9"/>
              </w:numPr>
              <w:spacing w:after="120" w:line="240" w:lineRule="auto"/>
              <w:ind w:left="278" w:hanging="278"/>
              <w:rPr>
                <w:rFonts w:ascii="Arial" w:hAnsi="Arial" w:cs="Arial"/>
                <w:sz w:val="20"/>
                <w:szCs w:val="20"/>
              </w:rPr>
            </w:pPr>
            <w:r w:rsidRPr="00306E4E">
              <w:rPr>
                <w:rFonts w:ascii="Arial" w:hAnsi="Arial" w:cs="Arial"/>
                <w:sz w:val="20"/>
                <w:szCs w:val="20"/>
              </w:rPr>
              <w:t>Training and/or experience in b</w:t>
            </w:r>
            <w:r w:rsidR="001A02D6" w:rsidRPr="00306E4E">
              <w:rPr>
                <w:rFonts w:ascii="Arial" w:hAnsi="Arial" w:cs="Arial"/>
                <w:sz w:val="20"/>
                <w:szCs w:val="20"/>
              </w:rPr>
              <w:t>usiness development</w:t>
            </w:r>
          </w:p>
          <w:p w:rsidR="00020902" w:rsidRPr="00306E4E" w:rsidRDefault="00020902" w:rsidP="00020902">
            <w:pPr>
              <w:pStyle w:val="ListParagraph"/>
              <w:numPr>
                <w:ilvl w:val="0"/>
                <w:numId w:val="9"/>
              </w:numPr>
              <w:spacing w:after="120" w:line="240" w:lineRule="auto"/>
              <w:ind w:left="278" w:hanging="278"/>
              <w:rPr>
                <w:rFonts w:ascii="Arial" w:hAnsi="Arial" w:cs="Arial"/>
                <w:sz w:val="20"/>
                <w:szCs w:val="20"/>
              </w:rPr>
            </w:pPr>
            <w:r w:rsidRPr="00306E4E">
              <w:rPr>
                <w:rFonts w:ascii="Arial" w:hAnsi="Arial" w:cs="Arial"/>
                <w:sz w:val="20"/>
                <w:szCs w:val="20"/>
              </w:rPr>
              <w:t>Training and/or experience in</w:t>
            </w:r>
            <w:r w:rsidR="00F55F86" w:rsidRPr="00306E4E">
              <w:rPr>
                <w:rFonts w:ascii="Arial" w:hAnsi="Arial" w:cs="Arial"/>
                <w:sz w:val="20"/>
                <w:szCs w:val="20"/>
              </w:rPr>
              <w:t xml:space="preserve"> project management </w:t>
            </w:r>
          </w:p>
          <w:p w:rsidR="001A02D6" w:rsidRPr="00306E4E" w:rsidRDefault="00D7209B" w:rsidP="003226C3">
            <w:pPr>
              <w:pStyle w:val="ListParagraph"/>
              <w:numPr>
                <w:ilvl w:val="0"/>
                <w:numId w:val="9"/>
              </w:numPr>
              <w:spacing w:after="120" w:line="240" w:lineRule="auto"/>
              <w:ind w:left="279" w:hanging="284"/>
              <w:rPr>
                <w:rFonts w:ascii="Arial" w:eastAsia="SimSun" w:hAnsi="Arial" w:cs="Arial"/>
                <w:sz w:val="20"/>
                <w:szCs w:val="20"/>
                <w:lang w:eastAsia="en-GB"/>
              </w:rPr>
            </w:pPr>
            <w:r w:rsidRPr="00306E4E">
              <w:rPr>
                <w:rFonts w:ascii="Arial" w:eastAsia="SimSun" w:hAnsi="Arial" w:cs="Arial"/>
                <w:sz w:val="20"/>
                <w:szCs w:val="20"/>
                <w:lang w:eastAsia="en-GB"/>
              </w:rPr>
              <w:t xml:space="preserve">Experience/Knowledge of </w:t>
            </w:r>
            <w:r w:rsidR="003226C3" w:rsidRPr="00306E4E">
              <w:rPr>
                <w:rFonts w:ascii="Arial" w:eastAsia="SimSun" w:hAnsi="Arial" w:cs="Arial"/>
                <w:sz w:val="20"/>
                <w:szCs w:val="20"/>
                <w:lang w:eastAsia="en-GB"/>
              </w:rPr>
              <w:t>IAESTE or similar</w:t>
            </w:r>
            <w:r w:rsidR="005E4D6A" w:rsidRPr="00306E4E">
              <w:rPr>
                <w:rFonts w:ascii="Arial" w:eastAsia="SimSun" w:hAnsi="Arial" w:cs="Arial"/>
                <w:sz w:val="20"/>
                <w:szCs w:val="20"/>
                <w:lang w:eastAsia="en-GB"/>
              </w:rPr>
              <w:t xml:space="preserve"> mobility</w:t>
            </w:r>
            <w:r w:rsidR="003226C3" w:rsidRPr="00306E4E">
              <w:rPr>
                <w:rFonts w:ascii="Arial" w:eastAsia="SimSun" w:hAnsi="Arial" w:cs="Arial"/>
                <w:sz w:val="20"/>
                <w:szCs w:val="20"/>
                <w:lang w:eastAsia="en-GB"/>
              </w:rPr>
              <w:t xml:space="preserve"> programme</w:t>
            </w:r>
            <w:r w:rsidR="005E4D6A" w:rsidRPr="00306E4E">
              <w:rPr>
                <w:rFonts w:ascii="Arial" w:eastAsia="SimSun" w:hAnsi="Arial" w:cs="Arial"/>
                <w:sz w:val="20"/>
                <w:szCs w:val="20"/>
                <w:lang w:eastAsia="en-GB"/>
              </w:rPr>
              <w:t>s</w:t>
            </w:r>
          </w:p>
          <w:p w:rsidR="003226C3" w:rsidRPr="00306E4E" w:rsidRDefault="00753D2B" w:rsidP="003226C3">
            <w:pPr>
              <w:pStyle w:val="ListParagraph"/>
              <w:numPr>
                <w:ilvl w:val="0"/>
                <w:numId w:val="9"/>
              </w:numPr>
              <w:spacing w:after="120" w:line="240" w:lineRule="auto"/>
              <w:ind w:left="279" w:hanging="284"/>
              <w:rPr>
                <w:rFonts w:ascii="Arial" w:eastAsia="SimSun" w:hAnsi="Arial" w:cs="Arial"/>
                <w:sz w:val="20"/>
                <w:szCs w:val="20"/>
                <w:lang w:eastAsia="en-GB"/>
              </w:rPr>
            </w:pPr>
            <w:r w:rsidRPr="00306E4E">
              <w:rPr>
                <w:rFonts w:ascii="Arial" w:eastAsia="SimSun" w:hAnsi="Arial" w:cs="Arial"/>
                <w:sz w:val="20"/>
                <w:szCs w:val="20"/>
                <w:lang w:eastAsia="en-GB"/>
              </w:rPr>
              <w:t>Welsh based or knowledge of Welsh businesses, networks and relevant contacts</w:t>
            </w:r>
          </w:p>
          <w:p w:rsidR="00020902" w:rsidRPr="00306E4E" w:rsidRDefault="00020902" w:rsidP="003226C3">
            <w:pPr>
              <w:spacing w:after="120"/>
              <w:ind w:left="-5"/>
            </w:pPr>
          </w:p>
        </w:tc>
      </w:tr>
      <w:tr w:rsidR="00020902" w:rsidRPr="008E1649" w:rsidTr="003F5304">
        <w:tc>
          <w:tcPr>
            <w:tcW w:w="1640" w:type="dxa"/>
          </w:tcPr>
          <w:p w:rsidR="00020902" w:rsidRPr="008E1649" w:rsidRDefault="00020902" w:rsidP="00020902">
            <w:pPr>
              <w:rPr>
                <w:b/>
                <w:bCs/>
                <w:sz w:val="22"/>
                <w:szCs w:val="22"/>
              </w:rPr>
            </w:pPr>
          </w:p>
          <w:p w:rsidR="00020902" w:rsidRPr="008E1649" w:rsidRDefault="00020902" w:rsidP="00020902">
            <w:pPr>
              <w:rPr>
                <w:b/>
                <w:bCs/>
                <w:sz w:val="22"/>
                <w:szCs w:val="22"/>
              </w:rPr>
            </w:pPr>
            <w:r w:rsidRPr="008E1649">
              <w:rPr>
                <w:b/>
                <w:bCs/>
                <w:sz w:val="22"/>
                <w:szCs w:val="22"/>
              </w:rPr>
              <w:t xml:space="preserve">Constraints </w:t>
            </w:r>
          </w:p>
        </w:tc>
        <w:tc>
          <w:tcPr>
            <w:tcW w:w="8142" w:type="dxa"/>
          </w:tcPr>
          <w:p w:rsidR="00020902" w:rsidRPr="00306E4E" w:rsidRDefault="00020902" w:rsidP="00020902">
            <w:pPr>
              <w:spacing w:after="120"/>
              <w:rPr>
                <w:b/>
              </w:rPr>
            </w:pPr>
          </w:p>
          <w:p w:rsidR="00020902" w:rsidRPr="00306E4E" w:rsidRDefault="00020902" w:rsidP="00020902">
            <w:pPr>
              <w:spacing w:after="120"/>
              <w:rPr>
                <w:b/>
              </w:rPr>
            </w:pPr>
            <w:r w:rsidRPr="00306E4E">
              <w:rPr>
                <w:b/>
              </w:rPr>
              <w:t>Confidentiality</w:t>
            </w:r>
          </w:p>
          <w:p w:rsidR="00020902" w:rsidRPr="00306E4E" w:rsidRDefault="00020902" w:rsidP="00020902">
            <w:r w:rsidRPr="00306E4E">
              <w:t xml:space="preserve">Access will be provided to the approved </w:t>
            </w:r>
            <w:r w:rsidR="00D82BFB">
              <w:t>Consultant</w:t>
            </w:r>
            <w:r w:rsidRPr="00306E4E">
              <w:t xml:space="preserve"> to confidential information and the </w:t>
            </w:r>
            <w:r w:rsidR="00D82BFB">
              <w:t>Consultant</w:t>
            </w:r>
            <w:r w:rsidRPr="00306E4E">
              <w:t xml:space="preserve"> will be required to adhere to the British Council Confidentiality clause </w:t>
            </w:r>
            <w:r w:rsidR="00CC6CAA" w:rsidRPr="00306E4E">
              <w:t>7</w:t>
            </w:r>
            <w:r w:rsidRPr="00306E4E">
              <w:t xml:space="preserve"> (Standard Terms) as specified in Annex 2, the Contract.</w:t>
            </w:r>
          </w:p>
          <w:p w:rsidR="00020902" w:rsidRPr="00306E4E" w:rsidRDefault="00020902" w:rsidP="00020902"/>
          <w:p w:rsidR="00020902" w:rsidRPr="00306E4E" w:rsidRDefault="00020902" w:rsidP="00020902">
            <w:pPr>
              <w:spacing w:after="120"/>
            </w:pPr>
            <w:r w:rsidRPr="00306E4E">
              <w:rPr>
                <w:b/>
              </w:rPr>
              <w:t>Data Protection</w:t>
            </w:r>
          </w:p>
          <w:p w:rsidR="00020902" w:rsidRPr="00306E4E" w:rsidRDefault="00020902" w:rsidP="00020902">
            <w:r w:rsidRPr="00306E4E">
              <w:t xml:space="preserve">The </w:t>
            </w:r>
            <w:r w:rsidR="00D82BFB">
              <w:t>Consultant</w:t>
            </w:r>
            <w:r w:rsidRPr="00306E4E">
              <w:t xml:space="preserve"> will act in accordance with the Data Protection Act 1998 and any British Council instructions in regards to processing any personal data as specified in Clause </w:t>
            </w:r>
            <w:r w:rsidR="00306E4E" w:rsidRPr="00306E4E">
              <w:t>10</w:t>
            </w:r>
            <w:r w:rsidRPr="00306E4E">
              <w:t xml:space="preserve"> (Standard Terms) of the Contract at Annex 2. </w:t>
            </w:r>
          </w:p>
          <w:p w:rsidR="00020902" w:rsidRPr="00306E4E" w:rsidRDefault="00020902" w:rsidP="00020902">
            <w:pPr>
              <w:rPr>
                <w:color w:val="FF0000"/>
              </w:rPr>
            </w:pPr>
          </w:p>
          <w:p w:rsidR="00020902" w:rsidRPr="00306E4E" w:rsidRDefault="00020902" w:rsidP="00020902">
            <w:pPr>
              <w:spacing w:after="120"/>
              <w:rPr>
                <w:b/>
              </w:rPr>
            </w:pPr>
            <w:r w:rsidRPr="00306E4E">
              <w:rPr>
                <w:b/>
              </w:rPr>
              <w:t>Intellectual Property Rights</w:t>
            </w:r>
          </w:p>
          <w:p w:rsidR="00020902" w:rsidRPr="00306E4E" w:rsidRDefault="00020902" w:rsidP="00020902">
            <w:r w:rsidRPr="00306E4E">
              <w:t xml:space="preserve">Any pre-existing materials provided to the </w:t>
            </w:r>
            <w:r w:rsidR="00D82BFB">
              <w:t>Consultant</w:t>
            </w:r>
            <w:r w:rsidRPr="00306E4E">
              <w:t xml:space="preserve"> by the British Council and any reports, materials, and documents produced by the </w:t>
            </w:r>
            <w:r w:rsidR="00D82BFB">
              <w:t>Consultant</w:t>
            </w:r>
            <w:r w:rsidRPr="00306E4E">
              <w:t xml:space="preserve"> for the contract, the intellectual property rights will be owned by the British Council.</w:t>
            </w:r>
          </w:p>
          <w:p w:rsidR="00020902" w:rsidRPr="00306E4E" w:rsidRDefault="00020902" w:rsidP="00020902">
            <w:pPr>
              <w:rPr>
                <w:b/>
                <w:i/>
                <w:iCs/>
              </w:rPr>
            </w:pPr>
          </w:p>
        </w:tc>
      </w:tr>
      <w:tr w:rsidR="00020902" w:rsidRPr="008E1649" w:rsidTr="003F5304">
        <w:tc>
          <w:tcPr>
            <w:tcW w:w="1640" w:type="dxa"/>
          </w:tcPr>
          <w:p w:rsidR="00020902" w:rsidRPr="008E1649" w:rsidRDefault="00020902" w:rsidP="00020902">
            <w:pPr>
              <w:rPr>
                <w:b/>
                <w:bCs/>
                <w:sz w:val="22"/>
                <w:szCs w:val="22"/>
              </w:rPr>
            </w:pPr>
          </w:p>
          <w:p w:rsidR="00020902" w:rsidRPr="008E1649" w:rsidRDefault="00020902" w:rsidP="00020902">
            <w:pPr>
              <w:rPr>
                <w:b/>
                <w:bCs/>
                <w:sz w:val="22"/>
                <w:szCs w:val="22"/>
              </w:rPr>
            </w:pPr>
            <w:r w:rsidRPr="008E1649">
              <w:rPr>
                <w:b/>
                <w:bCs/>
                <w:sz w:val="22"/>
                <w:szCs w:val="22"/>
              </w:rPr>
              <w:t>Key Background documents &amp; Information:</w:t>
            </w:r>
          </w:p>
        </w:tc>
        <w:tc>
          <w:tcPr>
            <w:tcW w:w="8142" w:type="dxa"/>
          </w:tcPr>
          <w:p w:rsidR="00020902" w:rsidRPr="00306E4E" w:rsidRDefault="00020902" w:rsidP="00020902">
            <w:pPr>
              <w:pStyle w:val="NormalWeb"/>
              <w:spacing w:before="0" w:beforeAutospacing="0" w:after="0" w:afterAutospacing="0"/>
              <w:rPr>
                <w:rFonts w:ascii="Arial" w:hAnsi="Arial" w:cs="Arial"/>
                <w:color w:val="FF0000"/>
                <w:sz w:val="20"/>
                <w:szCs w:val="20"/>
              </w:rPr>
            </w:pPr>
          </w:p>
          <w:p w:rsidR="00020902" w:rsidRPr="00306E4E" w:rsidRDefault="00020902" w:rsidP="00020902">
            <w:pPr>
              <w:pStyle w:val="NormalWeb"/>
              <w:spacing w:before="0" w:beforeAutospacing="0" w:after="0" w:afterAutospacing="0"/>
              <w:rPr>
                <w:rFonts w:ascii="Arial" w:hAnsi="Arial" w:cs="Arial"/>
                <w:color w:val="FF0000"/>
                <w:sz w:val="20"/>
                <w:szCs w:val="20"/>
              </w:rPr>
            </w:pPr>
            <w:r w:rsidRPr="00306E4E">
              <w:rPr>
                <w:rFonts w:ascii="Arial" w:hAnsi="Arial" w:cs="Arial"/>
                <w:sz w:val="20"/>
                <w:szCs w:val="20"/>
              </w:rPr>
              <w:t xml:space="preserve">The key background information to our programmes can be found in the programme websites listed in the ‘Background’ section of this document.  </w:t>
            </w:r>
          </w:p>
          <w:p w:rsidR="00020902" w:rsidRPr="00306E4E" w:rsidRDefault="00020902" w:rsidP="00020902">
            <w:pPr>
              <w:rPr>
                <w:b/>
              </w:rPr>
            </w:pPr>
          </w:p>
        </w:tc>
      </w:tr>
      <w:tr w:rsidR="00020902" w:rsidRPr="008E1649" w:rsidTr="003F5304">
        <w:trPr>
          <w:trHeight w:val="445"/>
        </w:trPr>
        <w:tc>
          <w:tcPr>
            <w:tcW w:w="1640" w:type="dxa"/>
          </w:tcPr>
          <w:p w:rsidR="00020902" w:rsidRPr="008E1649" w:rsidRDefault="00020902" w:rsidP="00020902">
            <w:pPr>
              <w:spacing w:line="288" w:lineRule="auto"/>
              <w:rPr>
                <w:b/>
                <w:bCs/>
                <w:sz w:val="22"/>
                <w:szCs w:val="22"/>
              </w:rPr>
            </w:pPr>
          </w:p>
          <w:p w:rsidR="00020902" w:rsidRPr="008E1649" w:rsidRDefault="00020902" w:rsidP="00020902">
            <w:pPr>
              <w:spacing w:line="288" w:lineRule="auto"/>
              <w:rPr>
                <w:b/>
                <w:bCs/>
                <w:sz w:val="22"/>
                <w:szCs w:val="22"/>
              </w:rPr>
            </w:pPr>
            <w:r w:rsidRPr="008E1649">
              <w:rPr>
                <w:b/>
                <w:bCs/>
                <w:sz w:val="22"/>
                <w:szCs w:val="22"/>
              </w:rPr>
              <w:t>Inputs of the British Council</w:t>
            </w:r>
          </w:p>
        </w:tc>
        <w:tc>
          <w:tcPr>
            <w:tcW w:w="8142" w:type="dxa"/>
          </w:tcPr>
          <w:p w:rsidR="00020902" w:rsidRPr="00306E4E" w:rsidRDefault="00020902" w:rsidP="00020902">
            <w:pPr>
              <w:rPr>
                <w:color w:val="FF0000"/>
              </w:rPr>
            </w:pPr>
          </w:p>
          <w:p w:rsidR="00020902" w:rsidRPr="00306E4E" w:rsidRDefault="00020902" w:rsidP="00020902">
            <w:r w:rsidRPr="00306E4E">
              <w:t xml:space="preserve">The British Council will provide the following to assist the appointed </w:t>
            </w:r>
            <w:r w:rsidR="00D82BFB">
              <w:t>Consultant</w:t>
            </w:r>
            <w:r w:rsidRPr="00306E4E">
              <w:t>(s):</w:t>
            </w:r>
          </w:p>
          <w:p w:rsidR="00020902" w:rsidRPr="00306E4E" w:rsidRDefault="00020902" w:rsidP="00020902"/>
          <w:p w:rsidR="00020902" w:rsidRPr="00306E4E" w:rsidRDefault="00020902" w:rsidP="00020902">
            <w:pPr>
              <w:numPr>
                <w:ilvl w:val="0"/>
                <w:numId w:val="10"/>
              </w:numPr>
            </w:pPr>
            <w:r w:rsidRPr="00306E4E">
              <w:t xml:space="preserve">All necessary access to internal reports and documents to be analysed. </w:t>
            </w:r>
          </w:p>
          <w:p w:rsidR="00020902" w:rsidRPr="00306E4E" w:rsidRDefault="00020902" w:rsidP="00020902">
            <w:pPr>
              <w:numPr>
                <w:ilvl w:val="0"/>
                <w:numId w:val="10"/>
              </w:numPr>
            </w:pPr>
            <w:r w:rsidRPr="00306E4E">
              <w:t>All contact details of past and current employers</w:t>
            </w:r>
          </w:p>
          <w:p w:rsidR="00020902" w:rsidRPr="00306E4E" w:rsidRDefault="00020902" w:rsidP="00306E4E">
            <w:pPr>
              <w:rPr>
                <w:color w:val="FF0000"/>
              </w:rPr>
            </w:pPr>
          </w:p>
          <w:p w:rsidR="00020902" w:rsidRDefault="00020902" w:rsidP="00020902"/>
          <w:p w:rsidR="00306E4E" w:rsidRPr="00306E4E" w:rsidRDefault="00306E4E" w:rsidP="00020902"/>
        </w:tc>
      </w:tr>
      <w:tr w:rsidR="00020902" w:rsidRPr="008E1649" w:rsidTr="003F5304">
        <w:trPr>
          <w:trHeight w:val="445"/>
        </w:trPr>
        <w:tc>
          <w:tcPr>
            <w:tcW w:w="1640" w:type="dxa"/>
          </w:tcPr>
          <w:p w:rsidR="00020902" w:rsidRPr="008E1649" w:rsidRDefault="00020902" w:rsidP="00020902">
            <w:pPr>
              <w:spacing w:line="288" w:lineRule="auto"/>
              <w:rPr>
                <w:b/>
                <w:bCs/>
                <w:sz w:val="22"/>
                <w:szCs w:val="22"/>
              </w:rPr>
            </w:pPr>
          </w:p>
          <w:p w:rsidR="00020902" w:rsidRPr="008E1649" w:rsidRDefault="00020902" w:rsidP="00020902">
            <w:pPr>
              <w:spacing w:line="288" w:lineRule="auto"/>
              <w:rPr>
                <w:b/>
                <w:sz w:val="22"/>
                <w:szCs w:val="22"/>
              </w:rPr>
            </w:pPr>
            <w:r w:rsidRPr="008E1649">
              <w:rPr>
                <w:b/>
                <w:bCs/>
                <w:sz w:val="22"/>
                <w:szCs w:val="22"/>
              </w:rPr>
              <w:t>Timescales</w:t>
            </w:r>
          </w:p>
        </w:tc>
        <w:tc>
          <w:tcPr>
            <w:tcW w:w="8142" w:type="dxa"/>
          </w:tcPr>
          <w:p w:rsidR="00020902" w:rsidRPr="00306E4E" w:rsidRDefault="00020902" w:rsidP="00020902">
            <w:pPr>
              <w:rPr>
                <w:color w:val="FF0000"/>
              </w:rPr>
            </w:pPr>
          </w:p>
          <w:p w:rsidR="00020902" w:rsidRPr="00306E4E" w:rsidRDefault="00020902" w:rsidP="00020902">
            <w:pPr>
              <w:rPr>
                <w:i/>
              </w:rPr>
            </w:pPr>
            <w:r w:rsidRPr="00306E4E">
              <w:rPr>
                <w:i/>
              </w:rPr>
              <w:t>This timetable may be subject to change.</w:t>
            </w:r>
          </w:p>
          <w:tbl>
            <w:tblPr>
              <w:tblpPr w:leftFromText="180" w:rightFromText="180" w:vertAnchor="text" w:horzAnchor="margin" w:tblpY="-133"/>
              <w:tblOverlap w:val="never"/>
              <w:tblW w:w="7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5"/>
              <w:gridCol w:w="1844"/>
            </w:tblGrid>
            <w:tr w:rsidR="008B20D1" w:rsidRPr="00306E4E" w:rsidTr="0030466A">
              <w:trPr>
                <w:trHeight w:val="343"/>
              </w:trPr>
              <w:tc>
                <w:tcPr>
                  <w:tcW w:w="6035" w:type="dxa"/>
                  <w:shd w:val="clear" w:color="auto" w:fill="808080" w:themeFill="background1" w:themeFillShade="80"/>
                </w:tcPr>
                <w:p w:rsidR="008B20D1" w:rsidRPr="00306E4E" w:rsidRDefault="008B20D1" w:rsidP="008B20D1">
                  <w:pPr>
                    <w:rPr>
                      <w:b/>
                      <w:color w:val="FFFFFF" w:themeColor="background1"/>
                    </w:rPr>
                  </w:pPr>
                  <w:r w:rsidRPr="00306E4E">
                    <w:rPr>
                      <w:b/>
                      <w:color w:val="FFFFFF" w:themeColor="background1"/>
                    </w:rPr>
                    <w:t>Activity</w:t>
                  </w:r>
                </w:p>
              </w:tc>
              <w:tc>
                <w:tcPr>
                  <w:tcW w:w="1844" w:type="dxa"/>
                  <w:shd w:val="clear" w:color="auto" w:fill="808080" w:themeFill="background1" w:themeFillShade="80"/>
                </w:tcPr>
                <w:p w:rsidR="008B20D1" w:rsidRPr="00306E4E" w:rsidRDefault="008B20D1" w:rsidP="008B20D1">
                  <w:pPr>
                    <w:rPr>
                      <w:b/>
                      <w:color w:val="FFFFFF" w:themeColor="background1"/>
                    </w:rPr>
                  </w:pPr>
                  <w:r w:rsidRPr="00306E4E">
                    <w:rPr>
                      <w:b/>
                      <w:color w:val="FFFFFF" w:themeColor="background1"/>
                    </w:rPr>
                    <w:t>Date</w:t>
                  </w:r>
                </w:p>
              </w:tc>
            </w:tr>
            <w:tr w:rsidR="008B20D1" w:rsidRPr="00306E4E" w:rsidTr="008B20D1">
              <w:trPr>
                <w:trHeight w:val="363"/>
              </w:trPr>
              <w:tc>
                <w:tcPr>
                  <w:tcW w:w="6035" w:type="dxa"/>
                </w:tcPr>
                <w:p w:rsidR="008B20D1" w:rsidRPr="00306E4E" w:rsidRDefault="008B20D1" w:rsidP="008B20D1">
                  <w:r w:rsidRPr="00306E4E">
                    <w:t>ITT Released</w:t>
                  </w:r>
                </w:p>
              </w:tc>
              <w:tc>
                <w:tcPr>
                  <w:tcW w:w="1844" w:type="dxa"/>
                </w:tcPr>
                <w:p w:rsidR="008B20D1" w:rsidRPr="00306E4E" w:rsidRDefault="00BF701C" w:rsidP="008B20D1">
                  <w:r>
                    <w:t>24</w:t>
                  </w:r>
                  <w:r w:rsidR="00644C0C" w:rsidRPr="00306E4E">
                    <w:t xml:space="preserve"> April </w:t>
                  </w:r>
                  <w:r w:rsidR="00753D2B" w:rsidRPr="00306E4E">
                    <w:t>2017</w:t>
                  </w:r>
                </w:p>
              </w:tc>
            </w:tr>
            <w:tr w:rsidR="008B20D1" w:rsidRPr="00306E4E" w:rsidTr="008B20D1">
              <w:trPr>
                <w:trHeight w:val="343"/>
              </w:trPr>
              <w:tc>
                <w:tcPr>
                  <w:tcW w:w="6035" w:type="dxa"/>
                </w:tcPr>
                <w:p w:rsidR="008B20D1" w:rsidRPr="00306E4E" w:rsidRDefault="008B20D1" w:rsidP="008B20D1">
                  <w:r w:rsidRPr="00306E4E">
                    <w:t>Clarification/Questions</w:t>
                  </w:r>
                </w:p>
              </w:tc>
              <w:tc>
                <w:tcPr>
                  <w:tcW w:w="1844" w:type="dxa"/>
                </w:tcPr>
                <w:p w:rsidR="008B20D1" w:rsidRPr="00306E4E" w:rsidRDefault="00BF701C" w:rsidP="00753D2B">
                  <w:r>
                    <w:t>27</w:t>
                  </w:r>
                  <w:r w:rsidR="00BE2911" w:rsidRPr="00306E4E">
                    <w:t xml:space="preserve"> April </w:t>
                  </w:r>
                  <w:r w:rsidR="007251FD" w:rsidRPr="00306E4E">
                    <w:t xml:space="preserve"> 201</w:t>
                  </w:r>
                  <w:r w:rsidR="00753D2B" w:rsidRPr="00306E4E">
                    <w:t>7</w:t>
                  </w:r>
                </w:p>
              </w:tc>
            </w:tr>
            <w:tr w:rsidR="008B20D1" w:rsidRPr="00306E4E" w:rsidTr="008B20D1">
              <w:trPr>
                <w:trHeight w:val="363"/>
              </w:trPr>
              <w:tc>
                <w:tcPr>
                  <w:tcW w:w="6035" w:type="dxa"/>
                </w:tcPr>
                <w:p w:rsidR="008B20D1" w:rsidRPr="00306E4E" w:rsidRDefault="008B20D1" w:rsidP="008B20D1">
                  <w:r w:rsidRPr="00306E4E">
                    <w:t>Clarification Responses</w:t>
                  </w:r>
                </w:p>
              </w:tc>
              <w:tc>
                <w:tcPr>
                  <w:tcW w:w="1844" w:type="dxa"/>
                </w:tcPr>
                <w:p w:rsidR="008B20D1" w:rsidRPr="00306E4E" w:rsidRDefault="00BF701C" w:rsidP="00753D2B">
                  <w:r>
                    <w:t>28</w:t>
                  </w:r>
                  <w:r w:rsidR="00BE2911" w:rsidRPr="00306E4E">
                    <w:t xml:space="preserve"> April </w:t>
                  </w:r>
                  <w:r w:rsidR="007251FD" w:rsidRPr="00306E4E">
                    <w:t xml:space="preserve"> 201</w:t>
                  </w:r>
                  <w:r w:rsidR="00753D2B" w:rsidRPr="00306E4E">
                    <w:t>7</w:t>
                  </w:r>
                </w:p>
              </w:tc>
            </w:tr>
            <w:tr w:rsidR="008B20D1" w:rsidRPr="00306E4E" w:rsidTr="008B20D1">
              <w:trPr>
                <w:trHeight w:val="343"/>
              </w:trPr>
              <w:tc>
                <w:tcPr>
                  <w:tcW w:w="6035" w:type="dxa"/>
                </w:tcPr>
                <w:p w:rsidR="008B20D1" w:rsidRPr="00306E4E" w:rsidRDefault="008B20D1" w:rsidP="008B20D1">
                  <w:r w:rsidRPr="00306E4E">
                    <w:t>ITT Return Date</w:t>
                  </w:r>
                </w:p>
              </w:tc>
              <w:tc>
                <w:tcPr>
                  <w:tcW w:w="1844" w:type="dxa"/>
                </w:tcPr>
                <w:p w:rsidR="008B20D1" w:rsidRPr="00306E4E" w:rsidRDefault="00BF701C" w:rsidP="00BF701C">
                  <w:r>
                    <w:t>11</w:t>
                  </w:r>
                  <w:r w:rsidR="00234538" w:rsidRPr="00306E4E">
                    <w:t xml:space="preserve"> </w:t>
                  </w:r>
                  <w:r>
                    <w:t>May</w:t>
                  </w:r>
                  <w:r w:rsidR="008B20D1" w:rsidRPr="00306E4E">
                    <w:t xml:space="preserve"> 201</w:t>
                  </w:r>
                  <w:r w:rsidR="00753D2B" w:rsidRPr="00306E4E">
                    <w:t>7</w:t>
                  </w:r>
                </w:p>
              </w:tc>
            </w:tr>
            <w:tr w:rsidR="008B20D1" w:rsidRPr="00306E4E" w:rsidTr="008B20D1">
              <w:trPr>
                <w:trHeight w:val="706"/>
              </w:trPr>
              <w:tc>
                <w:tcPr>
                  <w:tcW w:w="6035" w:type="dxa"/>
                </w:tcPr>
                <w:p w:rsidR="008B20D1" w:rsidRPr="00306E4E" w:rsidRDefault="008B20D1" w:rsidP="00D82BFB">
                  <w:r w:rsidRPr="00306E4E">
                    <w:t xml:space="preserve">Final decision and Intention to award to appointed </w:t>
                  </w:r>
                  <w:r w:rsidR="00D82BFB">
                    <w:t>Consultant</w:t>
                  </w:r>
                </w:p>
              </w:tc>
              <w:tc>
                <w:tcPr>
                  <w:tcW w:w="1844" w:type="dxa"/>
                </w:tcPr>
                <w:p w:rsidR="008B20D1" w:rsidRPr="00306E4E" w:rsidRDefault="00BF701C" w:rsidP="00234538">
                  <w:r>
                    <w:t>18 May</w:t>
                  </w:r>
                  <w:r w:rsidR="008B20D1" w:rsidRPr="00306E4E">
                    <w:t xml:space="preserve"> 201</w:t>
                  </w:r>
                  <w:r w:rsidR="00753D2B" w:rsidRPr="00306E4E">
                    <w:t>7</w:t>
                  </w:r>
                </w:p>
              </w:tc>
            </w:tr>
            <w:tr w:rsidR="008B20D1" w:rsidRPr="00306E4E" w:rsidTr="008B20D1">
              <w:trPr>
                <w:trHeight w:val="343"/>
              </w:trPr>
              <w:tc>
                <w:tcPr>
                  <w:tcW w:w="6035" w:type="dxa"/>
                </w:tcPr>
                <w:p w:rsidR="008B20D1" w:rsidRPr="00306E4E" w:rsidRDefault="008B20D1" w:rsidP="008B20D1">
                  <w:r w:rsidRPr="00306E4E">
                    <w:t>Implementation meeting (by phone or face to face)</w:t>
                  </w:r>
                </w:p>
              </w:tc>
              <w:tc>
                <w:tcPr>
                  <w:tcW w:w="1844" w:type="dxa"/>
                </w:tcPr>
                <w:p w:rsidR="008B20D1" w:rsidRPr="00306E4E" w:rsidRDefault="00BF701C" w:rsidP="00234538">
                  <w:r>
                    <w:t>19 May</w:t>
                  </w:r>
                  <w:r w:rsidR="008B20D1" w:rsidRPr="00306E4E">
                    <w:t xml:space="preserve"> 201</w:t>
                  </w:r>
                  <w:r w:rsidR="00753D2B" w:rsidRPr="00306E4E">
                    <w:t>7</w:t>
                  </w:r>
                </w:p>
              </w:tc>
            </w:tr>
            <w:tr w:rsidR="008B20D1" w:rsidRPr="00306E4E" w:rsidTr="008B20D1">
              <w:trPr>
                <w:trHeight w:val="363"/>
              </w:trPr>
              <w:tc>
                <w:tcPr>
                  <w:tcW w:w="6035" w:type="dxa"/>
                </w:tcPr>
                <w:p w:rsidR="008B20D1" w:rsidRPr="00306E4E" w:rsidRDefault="008B20D1" w:rsidP="008B20D1">
                  <w:r w:rsidRPr="00306E4E">
                    <w:t>Draft report to be submitted</w:t>
                  </w:r>
                </w:p>
              </w:tc>
              <w:tc>
                <w:tcPr>
                  <w:tcW w:w="1844" w:type="dxa"/>
                </w:tcPr>
                <w:p w:rsidR="008B20D1" w:rsidRPr="00306E4E" w:rsidRDefault="00BF701C" w:rsidP="00234538">
                  <w:r>
                    <w:t xml:space="preserve">2 June </w:t>
                  </w:r>
                  <w:r w:rsidR="008B20D1" w:rsidRPr="00306E4E">
                    <w:t>201</w:t>
                  </w:r>
                  <w:r w:rsidR="00753D2B" w:rsidRPr="00306E4E">
                    <w:t>7</w:t>
                  </w:r>
                </w:p>
              </w:tc>
            </w:tr>
            <w:tr w:rsidR="008B20D1" w:rsidRPr="00306E4E" w:rsidTr="008B20D1">
              <w:trPr>
                <w:trHeight w:val="363"/>
              </w:trPr>
              <w:tc>
                <w:tcPr>
                  <w:tcW w:w="6035" w:type="dxa"/>
                </w:tcPr>
                <w:p w:rsidR="008B20D1" w:rsidRPr="00306E4E" w:rsidRDefault="008B20D1" w:rsidP="008B20D1">
                  <w:r w:rsidRPr="00306E4E">
                    <w:t>British Council response to draft report</w:t>
                  </w:r>
                </w:p>
              </w:tc>
              <w:tc>
                <w:tcPr>
                  <w:tcW w:w="1844" w:type="dxa"/>
                </w:tcPr>
                <w:p w:rsidR="008B20D1" w:rsidRPr="00306E4E" w:rsidRDefault="00BF701C" w:rsidP="00234538">
                  <w:r>
                    <w:t>6 June</w:t>
                  </w:r>
                  <w:r w:rsidR="008B20D1" w:rsidRPr="00306E4E">
                    <w:t xml:space="preserve"> 201</w:t>
                  </w:r>
                  <w:r w:rsidR="00E75903" w:rsidRPr="00306E4E">
                    <w:t>7</w:t>
                  </w:r>
                </w:p>
              </w:tc>
            </w:tr>
            <w:tr w:rsidR="008B20D1" w:rsidRPr="00306E4E" w:rsidTr="008B20D1">
              <w:trPr>
                <w:trHeight w:val="343"/>
              </w:trPr>
              <w:tc>
                <w:tcPr>
                  <w:tcW w:w="6035" w:type="dxa"/>
                </w:tcPr>
                <w:p w:rsidR="008B20D1" w:rsidRPr="00306E4E" w:rsidRDefault="008B20D1" w:rsidP="008B20D1">
                  <w:r w:rsidRPr="00306E4E">
                    <w:t>Final report to be submitted</w:t>
                  </w:r>
                </w:p>
              </w:tc>
              <w:tc>
                <w:tcPr>
                  <w:tcW w:w="1844" w:type="dxa"/>
                </w:tcPr>
                <w:p w:rsidR="008B20D1" w:rsidRPr="00306E4E" w:rsidRDefault="00BF701C" w:rsidP="00234538">
                  <w:r>
                    <w:t>12 June</w:t>
                  </w:r>
                  <w:r w:rsidR="008B20D1" w:rsidRPr="00306E4E">
                    <w:t xml:space="preserve"> 201</w:t>
                  </w:r>
                  <w:r w:rsidR="00E75903" w:rsidRPr="00306E4E">
                    <w:t>7</w:t>
                  </w:r>
                </w:p>
              </w:tc>
            </w:tr>
            <w:tr w:rsidR="008B20D1" w:rsidRPr="00306E4E" w:rsidTr="008B20D1">
              <w:trPr>
                <w:trHeight w:val="363"/>
              </w:trPr>
              <w:tc>
                <w:tcPr>
                  <w:tcW w:w="6035" w:type="dxa"/>
                </w:tcPr>
                <w:p w:rsidR="008B20D1" w:rsidRPr="00306E4E" w:rsidRDefault="008B20D1" w:rsidP="008B20D1">
                  <w:r w:rsidRPr="00306E4E">
                    <w:t>Verbal presentation of findings to British Council staff</w:t>
                  </w:r>
                </w:p>
              </w:tc>
              <w:tc>
                <w:tcPr>
                  <w:tcW w:w="1844" w:type="dxa"/>
                </w:tcPr>
                <w:p w:rsidR="008B20D1" w:rsidRPr="00306E4E" w:rsidRDefault="003F5304" w:rsidP="00BF701C">
                  <w:r w:rsidRPr="00306E4E">
                    <w:t xml:space="preserve">Week commencing </w:t>
                  </w:r>
                  <w:r w:rsidR="00BF701C">
                    <w:t>12 June</w:t>
                  </w:r>
                  <w:r w:rsidR="008B20D1" w:rsidRPr="00306E4E">
                    <w:t xml:space="preserve"> 201</w:t>
                  </w:r>
                  <w:r w:rsidR="00E75903" w:rsidRPr="00306E4E">
                    <w:t>7</w:t>
                  </w:r>
                </w:p>
              </w:tc>
            </w:tr>
          </w:tbl>
          <w:p w:rsidR="00020902" w:rsidRPr="00306E4E" w:rsidRDefault="00020902" w:rsidP="00675990">
            <w:pPr>
              <w:rPr>
                <w:b/>
                <w:bCs/>
                <w:color w:val="FF0000"/>
              </w:rPr>
            </w:pPr>
          </w:p>
          <w:p w:rsidR="00675990" w:rsidRPr="00306E4E" w:rsidRDefault="00675990" w:rsidP="00675990">
            <w:pPr>
              <w:rPr>
                <w:b/>
                <w:bCs/>
                <w:color w:val="FF0000"/>
              </w:rPr>
            </w:pPr>
          </w:p>
        </w:tc>
      </w:tr>
      <w:tr w:rsidR="00020902" w:rsidRPr="008E1649" w:rsidTr="003F5304">
        <w:trPr>
          <w:trHeight w:val="349"/>
        </w:trPr>
        <w:tc>
          <w:tcPr>
            <w:tcW w:w="1640" w:type="dxa"/>
          </w:tcPr>
          <w:p w:rsidR="00020902" w:rsidRPr="008E1649" w:rsidRDefault="00020902" w:rsidP="00020902">
            <w:pPr>
              <w:rPr>
                <w:b/>
                <w:bCs/>
                <w:sz w:val="22"/>
                <w:szCs w:val="22"/>
              </w:rPr>
            </w:pPr>
          </w:p>
          <w:p w:rsidR="00020902" w:rsidRPr="008E1649" w:rsidRDefault="00020902" w:rsidP="00020902">
            <w:pPr>
              <w:rPr>
                <w:b/>
                <w:bCs/>
                <w:sz w:val="22"/>
                <w:szCs w:val="22"/>
              </w:rPr>
            </w:pPr>
            <w:r w:rsidRPr="008E1649">
              <w:rPr>
                <w:b/>
                <w:bCs/>
                <w:sz w:val="22"/>
                <w:szCs w:val="22"/>
              </w:rPr>
              <w:t>Supplier Response</w:t>
            </w:r>
          </w:p>
        </w:tc>
        <w:tc>
          <w:tcPr>
            <w:tcW w:w="8142" w:type="dxa"/>
          </w:tcPr>
          <w:p w:rsidR="00020902" w:rsidRPr="00306E4E" w:rsidRDefault="00020902" w:rsidP="00020902">
            <w:pPr>
              <w:pStyle w:val="NormalWeb"/>
              <w:spacing w:before="0" w:beforeAutospacing="0" w:after="0" w:afterAutospacing="0"/>
              <w:rPr>
                <w:rFonts w:ascii="Arial" w:hAnsi="Arial" w:cs="Arial"/>
                <w:sz w:val="20"/>
                <w:szCs w:val="20"/>
              </w:rPr>
            </w:pPr>
          </w:p>
          <w:p w:rsidR="00020902" w:rsidRPr="00BF701C" w:rsidRDefault="00020902" w:rsidP="00020902">
            <w:pPr>
              <w:pStyle w:val="NormalWeb"/>
              <w:spacing w:before="0" w:beforeAutospacing="0" w:after="0" w:afterAutospacing="0"/>
              <w:rPr>
                <w:rFonts w:ascii="Arial" w:hAnsi="Arial" w:cs="Arial"/>
                <w:sz w:val="20"/>
                <w:szCs w:val="20"/>
              </w:rPr>
            </w:pPr>
            <w:r w:rsidRPr="00306E4E">
              <w:rPr>
                <w:rFonts w:ascii="Arial" w:hAnsi="Arial" w:cs="Arial"/>
                <w:sz w:val="20"/>
                <w:szCs w:val="20"/>
              </w:rPr>
              <w:t xml:space="preserve">Please complete Annex 1 (ITT response) and submit it to </w:t>
            </w:r>
            <w:hyperlink r:id="rId11" w:history="1">
              <w:r w:rsidR="00822CE0" w:rsidRPr="00306E4E">
                <w:rPr>
                  <w:rStyle w:val="Hyperlink"/>
                  <w:rFonts w:ascii="Arial" w:hAnsi="Arial" w:cs="Arial"/>
                  <w:sz w:val="20"/>
                  <w:szCs w:val="20"/>
                </w:rPr>
                <w:t>katie.jellicoe@britishcouncil.org</w:t>
              </w:r>
            </w:hyperlink>
            <w:r w:rsidR="00BE2911" w:rsidRPr="00306E4E">
              <w:rPr>
                <w:rFonts w:ascii="Arial" w:hAnsi="Arial" w:cs="Arial"/>
                <w:sz w:val="20"/>
                <w:szCs w:val="20"/>
              </w:rPr>
              <w:t xml:space="preserve"> </w:t>
            </w:r>
            <w:r w:rsidRPr="00306E4E">
              <w:rPr>
                <w:rFonts w:ascii="Arial" w:hAnsi="Arial" w:cs="Arial"/>
                <w:sz w:val="20"/>
                <w:szCs w:val="20"/>
              </w:rPr>
              <w:t xml:space="preserve">no later </w:t>
            </w:r>
            <w:r w:rsidRPr="00BF701C">
              <w:rPr>
                <w:rFonts w:ascii="Arial" w:hAnsi="Arial" w:cs="Arial"/>
                <w:sz w:val="20"/>
                <w:szCs w:val="20"/>
              </w:rPr>
              <w:t xml:space="preserve">than </w:t>
            </w:r>
            <w:r w:rsidR="00BF701C" w:rsidRPr="00BF701C">
              <w:rPr>
                <w:rFonts w:ascii="Arial" w:hAnsi="Arial" w:cs="Arial"/>
                <w:b/>
                <w:sz w:val="20"/>
                <w:szCs w:val="20"/>
              </w:rPr>
              <w:t>11</w:t>
            </w:r>
            <w:r w:rsidR="00BF701C" w:rsidRPr="00BF701C">
              <w:rPr>
                <w:rFonts w:ascii="Arial" w:hAnsi="Arial" w:cs="Arial"/>
                <w:b/>
                <w:sz w:val="20"/>
                <w:szCs w:val="20"/>
                <w:vertAlign w:val="superscript"/>
              </w:rPr>
              <w:t>th</w:t>
            </w:r>
            <w:r w:rsidR="00BF701C">
              <w:rPr>
                <w:rFonts w:ascii="Arial" w:hAnsi="Arial" w:cs="Arial"/>
                <w:b/>
                <w:sz w:val="20"/>
                <w:szCs w:val="20"/>
              </w:rPr>
              <w:t xml:space="preserve"> </w:t>
            </w:r>
            <w:r w:rsidR="00BF701C" w:rsidRPr="00BF701C">
              <w:rPr>
                <w:rFonts w:ascii="Arial" w:hAnsi="Arial" w:cs="Arial"/>
                <w:b/>
                <w:sz w:val="20"/>
                <w:szCs w:val="20"/>
              </w:rPr>
              <w:t>May 2017</w:t>
            </w:r>
            <w:r w:rsidRPr="00BF701C">
              <w:rPr>
                <w:rFonts w:ascii="Arial" w:hAnsi="Arial" w:cs="Arial"/>
                <w:b/>
                <w:sz w:val="20"/>
                <w:szCs w:val="20"/>
              </w:rPr>
              <w:t xml:space="preserve"> 12:00hrs</w:t>
            </w:r>
            <w:r w:rsidR="00822CE0" w:rsidRPr="00BF701C">
              <w:rPr>
                <w:rFonts w:ascii="Arial" w:hAnsi="Arial" w:cs="Arial"/>
                <w:b/>
                <w:sz w:val="20"/>
                <w:szCs w:val="20"/>
              </w:rPr>
              <w:t>.</w:t>
            </w:r>
          </w:p>
          <w:p w:rsidR="00020902" w:rsidRPr="00306E4E" w:rsidRDefault="00020902" w:rsidP="00020902">
            <w:pPr>
              <w:pStyle w:val="NormalWeb"/>
              <w:spacing w:before="0" w:beforeAutospacing="0" w:after="0" w:afterAutospacing="0"/>
              <w:rPr>
                <w:rFonts w:ascii="Arial" w:hAnsi="Arial" w:cs="Arial"/>
                <w:sz w:val="20"/>
                <w:szCs w:val="20"/>
              </w:rPr>
            </w:pPr>
          </w:p>
          <w:p w:rsidR="00020902" w:rsidRPr="00306E4E" w:rsidRDefault="00020902" w:rsidP="00020902">
            <w:pPr>
              <w:numPr>
                <w:ilvl w:val="0"/>
                <w:numId w:val="2"/>
              </w:numPr>
              <w:ind w:left="420"/>
              <w:rPr>
                <w:b/>
              </w:rPr>
            </w:pPr>
            <w:r w:rsidRPr="00306E4E">
              <w:t>Please ensure that you send your submission in good time to prevent issues with technology – late submissions may not be considered.</w:t>
            </w:r>
          </w:p>
          <w:p w:rsidR="00020902" w:rsidRPr="00306E4E" w:rsidRDefault="00020902" w:rsidP="00020902">
            <w:pPr>
              <w:numPr>
                <w:ilvl w:val="0"/>
                <w:numId w:val="2"/>
              </w:numPr>
              <w:ind w:left="420"/>
            </w:pPr>
            <w:r w:rsidRPr="00306E4E">
              <w:t>Do not submit any additional documentation except if specifically requested.</w:t>
            </w:r>
          </w:p>
          <w:p w:rsidR="00020902" w:rsidRPr="00306E4E" w:rsidRDefault="00020902" w:rsidP="00020902">
            <w:pPr>
              <w:numPr>
                <w:ilvl w:val="0"/>
                <w:numId w:val="2"/>
              </w:numPr>
              <w:autoSpaceDE w:val="0"/>
              <w:autoSpaceDN w:val="0"/>
              <w:adjustRightInd w:val="0"/>
              <w:ind w:left="420"/>
            </w:pPr>
            <w:r w:rsidRPr="00306E4E">
              <w:t>Supporting evidence (PDF, JPG, PPT, Word and Excel formats only - other formats should not be used) can be provided to substantiate your response – please ensure that all attachments/supporting evidence is clearly labelled with the appropriate question number.</w:t>
            </w:r>
          </w:p>
          <w:p w:rsidR="00020902" w:rsidRPr="00306E4E" w:rsidRDefault="00020902" w:rsidP="00020902">
            <w:pPr>
              <w:numPr>
                <w:ilvl w:val="0"/>
                <w:numId w:val="2"/>
              </w:numPr>
              <w:autoSpaceDE w:val="0"/>
              <w:autoSpaceDN w:val="0"/>
              <w:adjustRightInd w:val="0"/>
              <w:ind w:left="420"/>
            </w:pPr>
            <w:r w:rsidRPr="00306E4E">
              <w:t xml:space="preserve">It is not acceptable to submit a generic policy in answer to a question. </w:t>
            </w:r>
          </w:p>
          <w:p w:rsidR="00020902" w:rsidRPr="00306E4E" w:rsidRDefault="00020902" w:rsidP="00020902">
            <w:pPr>
              <w:numPr>
                <w:ilvl w:val="0"/>
                <w:numId w:val="2"/>
              </w:numPr>
              <w:autoSpaceDE w:val="0"/>
              <w:autoSpaceDN w:val="0"/>
              <w:adjustRightInd w:val="0"/>
              <w:ind w:left="420"/>
            </w:pPr>
            <w:r w:rsidRPr="00306E4E">
              <w:t>All answers in the ITT response should be inserted in the space below the British Council requirement / question.</w:t>
            </w:r>
          </w:p>
          <w:p w:rsidR="00020902" w:rsidRPr="00306E4E" w:rsidRDefault="00020902" w:rsidP="00020902">
            <w:pPr>
              <w:numPr>
                <w:ilvl w:val="0"/>
                <w:numId w:val="2"/>
              </w:numPr>
              <w:autoSpaceDE w:val="0"/>
              <w:autoSpaceDN w:val="0"/>
              <w:adjustRightInd w:val="0"/>
              <w:ind w:left="420"/>
            </w:pPr>
            <w:r w:rsidRPr="00306E4E">
              <w:t xml:space="preserve">Where supporting evidence is requested as ‘or equivalent’ – it is the </w:t>
            </w:r>
            <w:r w:rsidR="00D82BFB">
              <w:t>Consultant’s</w:t>
            </w:r>
            <w:r w:rsidRPr="00306E4E">
              <w:t xml:space="preserve"> responsibility to prove the relevant equivalence.</w:t>
            </w:r>
          </w:p>
          <w:p w:rsidR="00020902" w:rsidRPr="00306E4E" w:rsidRDefault="00020902" w:rsidP="00020902">
            <w:pPr>
              <w:numPr>
                <w:ilvl w:val="0"/>
                <w:numId w:val="2"/>
              </w:numPr>
              <w:autoSpaceDE w:val="0"/>
              <w:autoSpaceDN w:val="0"/>
              <w:adjustRightInd w:val="0"/>
              <w:ind w:left="420"/>
            </w:pPr>
            <w:r w:rsidRPr="00306E4E">
              <w:t>Any alteration to a question will invalidate your response to that question and a mark of zero will be applied.</w:t>
            </w:r>
          </w:p>
          <w:p w:rsidR="00020902" w:rsidRPr="00306E4E" w:rsidRDefault="00020902" w:rsidP="00020902">
            <w:pPr>
              <w:numPr>
                <w:ilvl w:val="0"/>
                <w:numId w:val="2"/>
              </w:numPr>
              <w:autoSpaceDE w:val="0"/>
              <w:autoSpaceDN w:val="0"/>
              <w:adjustRightInd w:val="0"/>
              <w:ind w:left="420"/>
            </w:pPr>
            <w:r w:rsidRPr="00306E4E">
              <w:t xml:space="preserve">Completion and submission of your response does not guarantee award of any British Council Contract </w:t>
            </w:r>
          </w:p>
          <w:p w:rsidR="00020902" w:rsidRPr="00306E4E" w:rsidRDefault="00020902" w:rsidP="00020902">
            <w:pPr>
              <w:autoSpaceDE w:val="0"/>
              <w:autoSpaceDN w:val="0"/>
              <w:adjustRightInd w:val="0"/>
              <w:ind w:left="420"/>
            </w:pPr>
          </w:p>
        </w:tc>
      </w:tr>
      <w:tr w:rsidR="00020902" w:rsidRPr="008E1649" w:rsidTr="003F5304">
        <w:trPr>
          <w:trHeight w:val="349"/>
        </w:trPr>
        <w:tc>
          <w:tcPr>
            <w:tcW w:w="1640" w:type="dxa"/>
          </w:tcPr>
          <w:p w:rsidR="00020902" w:rsidRPr="008E1649" w:rsidRDefault="00020902" w:rsidP="00020902">
            <w:pPr>
              <w:rPr>
                <w:b/>
                <w:bCs/>
                <w:sz w:val="22"/>
                <w:szCs w:val="22"/>
              </w:rPr>
            </w:pPr>
          </w:p>
          <w:p w:rsidR="00020902" w:rsidRPr="008E1649" w:rsidRDefault="00020902" w:rsidP="00020902">
            <w:pPr>
              <w:rPr>
                <w:b/>
                <w:bCs/>
                <w:sz w:val="22"/>
                <w:szCs w:val="22"/>
              </w:rPr>
            </w:pPr>
            <w:r w:rsidRPr="008E1649">
              <w:rPr>
                <w:b/>
                <w:bCs/>
                <w:sz w:val="22"/>
                <w:szCs w:val="22"/>
              </w:rPr>
              <w:t>Clarification Questions</w:t>
            </w:r>
          </w:p>
        </w:tc>
        <w:tc>
          <w:tcPr>
            <w:tcW w:w="8142" w:type="dxa"/>
          </w:tcPr>
          <w:p w:rsidR="00020902" w:rsidRPr="00306E4E" w:rsidRDefault="00020902" w:rsidP="00020902"/>
          <w:p w:rsidR="00020902" w:rsidRPr="00BF701C" w:rsidRDefault="00020902" w:rsidP="00020902">
            <w:r w:rsidRPr="00306E4E">
              <w:t xml:space="preserve">Any questions should be submitted via email to </w:t>
            </w:r>
            <w:hyperlink r:id="rId12" w:history="1">
              <w:r w:rsidR="004B7BF4" w:rsidRPr="00306E4E">
                <w:rPr>
                  <w:rStyle w:val="Hyperlink"/>
                </w:rPr>
                <w:t>katie.jellicoe@britishcouncil.org</w:t>
              </w:r>
            </w:hyperlink>
            <w:r w:rsidR="008B20D1" w:rsidRPr="00306E4E">
              <w:t xml:space="preserve"> </w:t>
            </w:r>
            <w:r w:rsidRPr="00306E4E">
              <w:t xml:space="preserve">no later </w:t>
            </w:r>
            <w:r w:rsidRPr="00BF701C">
              <w:t xml:space="preserve">than </w:t>
            </w:r>
            <w:r w:rsidR="00BF701C" w:rsidRPr="00BF701C">
              <w:t>27</w:t>
            </w:r>
            <w:r w:rsidR="00BF701C" w:rsidRPr="00BF701C">
              <w:rPr>
                <w:vertAlign w:val="superscript"/>
              </w:rPr>
              <w:t>th</w:t>
            </w:r>
            <w:r w:rsidR="00BF701C" w:rsidRPr="00BF701C">
              <w:t xml:space="preserve"> </w:t>
            </w:r>
            <w:r w:rsidR="00BE2911" w:rsidRPr="00BF701C">
              <w:t xml:space="preserve">April </w:t>
            </w:r>
            <w:r w:rsidR="003F5304" w:rsidRPr="00BF701C">
              <w:t>201</w:t>
            </w:r>
            <w:r w:rsidR="00E75903" w:rsidRPr="00BF701C">
              <w:t>7</w:t>
            </w:r>
            <w:r w:rsidRPr="00BF701C">
              <w:t xml:space="preserve"> 17:00hrs</w:t>
            </w:r>
            <w:r w:rsidR="00822CE0" w:rsidRPr="00BF701C">
              <w:t>.</w:t>
            </w:r>
          </w:p>
          <w:p w:rsidR="00020902" w:rsidRPr="00306E4E" w:rsidRDefault="00020902" w:rsidP="00020902"/>
        </w:tc>
      </w:tr>
      <w:tr w:rsidR="00020902" w:rsidRPr="008E1649" w:rsidTr="003F5304">
        <w:trPr>
          <w:trHeight w:val="1266"/>
        </w:trPr>
        <w:tc>
          <w:tcPr>
            <w:tcW w:w="1640" w:type="dxa"/>
          </w:tcPr>
          <w:p w:rsidR="00020902" w:rsidRPr="008E1649" w:rsidRDefault="00020902" w:rsidP="00020902">
            <w:pPr>
              <w:rPr>
                <w:b/>
                <w:bCs/>
                <w:sz w:val="22"/>
                <w:szCs w:val="22"/>
              </w:rPr>
            </w:pPr>
          </w:p>
          <w:p w:rsidR="00020902" w:rsidRPr="008E1649" w:rsidRDefault="00020902" w:rsidP="00020902">
            <w:pPr>
              <w:rPr>
                <w:b/>
                <w:bCs/>
                <w:sz w:val="22"/>
                <w:szCs w:val="22"/>
              </w:rPr>
            </w:pPr>
            <w:r w:rsidRPr="008E1649">
              <w:rPr>
                <w:b/>
                <w:bCs/>
                <w:sz w:val="22"/>
                <w:szCs w:val="22"/>
              </w:rPr>
              <w:t>Evaluation Criteria</w:t>
            </w:r>
          </w:p>
        </w:tc>
        <w:tc>
          <w:tcPr>
            <w:tcW w:w="8142" w:type="dxa"/>
          </w:tcPr>
          <w:p w:rsidR="00020902" w:rsidRPr="00306E4E" w:rsidRDefault="00020902" w:rsidP="00020902"/>
          <w:p w:rsidR="00020902" w:rsidRPr="00306E4E" w:rsidRDefault="00020902" w:rsidP="00020902">
            <w:r w:rsidRPr="00306E4E">
              <w:t xml:space="preserve">The award criterion for this tender is the most economically advantageous. The </w:t>
            </w:r>
            <w:r w:rsidR="00D82BFB">
              <w:t>Consultant’s</w:t>
            </w:r>
            <w:r w:rsidRPr="00306E4E">
              <w:t xml:space="preserve"> submission will be taken into consideration only if they pass Section 1 - Mandatory and Discretionary Rejection.</w:t>
            </w:r>
          </w:p>
          <w:p w:rsidR="00020902" w:rsidRPr="00306E4E" w:rsidRDefault="00020902" w:rsidP="00020902"/>
          <w:p w:rsidR="00020902" w:rsidRPr="00306E4E" w:rsidRDefault="00020902" w:rsidP="00020902">
            <w:pPr>
              <w:spacing w:after="120"/>
              <w:rPr>
                <w:rFonts w:eastAsia="Times New Roman"/>
                <w:lang w:eastAsia="en-US"/>
              </w:rPr>
            </w:pPr>
            <w:r w:rsidRPr="00306E4E">
              <w:t xml:space="preserve">Supplier responses </w:t>
            </w:r>
            <w:r w:rsidRPr="00306E4E">
              <w:rPr>
                <w:rFonts w:eastAsia="Times New Roman"/>
                <w:lang w:eastAsia="en-US"/>
              </w:rPr>
              <w:t xml:space="preserve">will be assessed using the following criteria and weightings. </w:t>
            </w:r>
          </w:p>
          <w:tbl>
            <w:tblPr>
              <w:tblW w:w="7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3"/>
              <w:gridCol w:w="1280"/>
            </w:tblGrid>
            <w:tr w:rsidR="00020902" w:rsidRPr="00306E4E" w:rsidTr="00F160C7">
              <w:tc>
                <w:tcPr>
                  <w:tcW w:w="6223" w:type="dxa"/>
                  <w:shd w:val="clear" w:color="auto" w:fill="B3B3B3"/>
                  <w:vAlign w:val="center"/>
                </w:tcPr>
                <w:p w:rsidR="00020902" w:rsidRPr="00306E4E" w:rsidRDefault="00020902" w:rsidP="00020902">
                  <w:pPr>
                    <w:tabs>
                      <w:tab w:val="left" w:pos="1440"/>
                      <w:tab w:val="left" w:pos="1528"/>
                    </w:tabs>
                    <w:spacing w:line="360" w:lineRule="auto"/>
                    <w:rPr>
                      <w:rFonts w:eastAsia="Times New Roman"/>
                      <w:b/>
                      <w:lang w:eastAsia="en-US"/>
                    </w:rPr>
                  </w:pPr>
                  <w:r w:rsidRPr="00306E4E">
                    <w:rPr>
                      <w:rFonts w:eastAsia="Times New Roman"/>
                      <w:b/>
                      <w:lang w:eastAsia="en-US"/>
                    </w:rPr>
                    <w:t>Criteria</w:t>
                  </w:r>
                </w:p>
              </w:tc>
              <w:tc>
                <w:tcPr>
                  <w:tcW w:w="1280" w:type="dxa"/>
                  <w:shd w:val="clear" w:color="auto" w:fill="B3B3B3"/>
                  <w:vAlign w:val="center"/>
                </w:tcPr>
                <w:p w:rsidR="00020902" w:rsidRPr="00306E4E" w:rsidRDefault="00020902" w:rsidP="00020902">
                  <w:pPr>
                    <w:tabs>
                      <w:tab w:val="left" w:pos="1440"/>
                      <w:tab w:val="left" w:pos="1528"/>
                    </w:tabs>
                    <w:spacing w:line="360" w:lineRule="auto"/>
                    <w:rPr>
                      <w:rFonts w:eastAsia="Times New Roman"/>
                      <w:b/>
                      <w:lang w:eastAsia="en-US"/>
                    </w:rPr>
                  </w:pPr>
                  <w:r w:rsidRPr="00306E4E">
                    <w:rPr>
                      <w:rFonts w:eastAsia="Times New Roman"/>
                      <w:b/>
                      <w:lang w:eastAsia="en-US"/>
                    </w:rPr>
                    <w:t>Weighting</w:t>
                  </w:r>
                </w:p>
              </w:tc>
            </w:tr>
            <w:tr w:rsidR="00020902" w:rsidRPr="00306E4E" w:rsidTr="00F160C7">
              <w:tc>
                <w:tcPr>
                  <w:tcW w:w="6223" w:type="dxa"/>
                  <w:vAlign w:val="center"/>
                </w:tcPr>
                <w:p w:rsidR="00020902" w:rsidRPr="00306E4E" w:rsidRDefault="00020902" w:rsidP="00020902">
                  <w:pPr>
                    <w:tabs>
                      <w:tab w:val="left" w:pos="1440"/>
                      <w:tab w:val="left" w:pos="1528"/>
                    </w:tabs>
                    <w:spacing w:line="360" w:lineRule="auto"/>
                    <w:rPr>
                      <w:rFonts w:eastAsia="Times New Roman"/>
                      <w:lang w:eastAsia="en-US"/>
                    </w:rPr>
                  </w:pPr>
                  <w:r w:rsidRPr="00306E4E">
                    <w:rPr>
                      <w:rFonts w:eastAsia="Times New Roman"/>
                      <w:lang w:eastAsia="en-US"/>
                    </w:rPr>
                    <w:t>Section 1 – Mandatory and Discretionary Rejection</w:t>
                  </w:r>
                </w:p>
              </w:tc>
              <w:tc>
                <w:tcPr>
                  <w:tcW w:w="1280" w:type="dxa"/>
                  <w:vAlign w:val="center"/>
                </w:tcPr>
                <w:p w:rsidR="00020902" w:rsidRPr="00306E4E" w:rsidRDefault="00020902" w:rsidP="00020902">
                  <w:pPr>
                    <w:tabs>
                      <w:tab w:val="left" w:pos="1440"/>
                      <w:tab w:val="left" w:pos="1528"/>
                    </w:tabs>
                    <w:spacing w:line="360" w:lineRule="auto"/>
                    <w:rPr>
                      <w:rFonts w:eastAsia="Times New Roman"/>
                      <w:lang w:eastAsia="en-US"/>
                    </w:rPr>
                  </w:pPr>
                  <w:r w:rsidRPr="00306E4E">
                    <w:rPr>
                      <w:rFonts w:eastAsia="Times New Roman"/>
                      <w:lang w:eastAsia="en-US"/>
                    </w:rPr>
                    <w:t>Pass/Fail</w:t>
                  </w:r>
                </w:p>
              </w:tc>
            </w:tr>
            <w:tr w:rsidR="00020902" w:rsidRPr="00306E4E" w:rsidTr="00F160C7">
              <w:tc>
                <w:tcPr>
                  <w:tcW w:w="6223" w:type="dxa"/>
                  <w:vAlign w:val="center"/>
                </w:tcPr>
                <w:p w:rsidR="00020902" w:rsidRPr="00306E4E" w:rsidRDefault="00020902" w:rsidP="00020902">
                  <w:pPr>
                    <w:tabs>
                      <w:tab w:val="left" w:pos="1440"/>
                      <w:tab w:val="left" w:pos="1528"/>
                    </w:tabs>
                    <w:spacing w:line="360" w:lineRule="auto"/>
                    <w:rPr>
                      <w:rFonts w:eastAsia="Times New Roman"/>
                      <w:lang w:eastAsia="en-US"/>
                    </w:rPr>
                  </w:pPr>
                  <w:r w:rsidRPr="00306E4E">
                    <w:rPr>
                      <w:rFonts w:eastAsia="Times New Roman"/>
                      <w:lang w:eastAsia="en-US"/>
                    </w:rPr>
                    <w:lastRenderedPageBreak/>
                    <w:t xml:space="preserve">Section 2 - Methodology  and approach </w:t>
                  </w:r>
                </w:p>
                <w:p w:rsidR="00A731E3" w:rsidRPr="00306E4E" w:rsidRDefault="000A74B7" w:rsidP="00692236">
                  <w:pPr>
                    <w:tabs>
                      <w:tab w:val="left" w:pos="1440"/>
                      <w:tab w:val="left" w:pos="1528"/>
                    </w:tabs>
                    <w:rPr>
                      <w:rFonts w:eastAsia="Times New Roman"/>
                      <w:lang w:eastAsia="en-US"/>
                    </w:rPr>
                  </w:pPr>
                  <w:r w:rsidRPr="00306E4E">
                    <w:rPr>
                      <w:color w:val="000000"/>
                    </w:rPr>
                    <w:t>Full information provided on p</w:t>
                  </w:r>
                  <w:r w:rsidR="00A731E3" w:rsidRPr="00306E4E">
                    <w:rPr>
                      <w:color w:val="000000"/>
                    </w:rPr>
                    <w:t xml:space="preserve">roposed research methodology and project plan for this work, including an estimated timeline. </w:t>
                  </w:r>
                  <w:r w:rsidRPr="00306E4E">
                    <w:rPr>
                      <w:color w:val="000000"/>
                    </w:rPr>
                    <w:t>M</w:t>
                  </w:r>
                  <w:r w:rsidR="00A731E3" w:rsidRPr="00306E4E">
                    <w:rPr>
                      <w:color w:val="000000"/>
                    </w:rPr>
                    <w:t>ethodology include</w:t>
                  </w:r>
                  <w:r w:rsidRPr="00306E4E">
                    <w:rPr>
                      <w:color w:val="000000"/>
                    </w:rPr>
                    <w:t>s</w:t>
                  </w:r>
                  <w:r w:rsidR="00A731E3" w:rsidRPr="00306E4E">
                    <w:rPr>
                      <w:color w:val="000000"/>
                    </w:rPr>
                    <w:t xml:space="preserve"> a full costing.</w:t>
                  </w:r>
                </w:p>
              </w:tc>
              <w:tc>
                <w:tcPr>
                  <w:tcW w:w="1280" w:type="dxa"/>
                  <w:vAlign w:val="center"/>
                </w:tcPr>
                <w:p w:rsidR="00020902" w:rsidRPr="00306E4E" w:rsidRDefault="00020902" w:rsidP="00020902">
                  <w:pPr>
                    <w:tabs>
                      <w:tab w:val="left" w:pos="1440"/>
                      <w:tab w:val="left" w:pos="1528"/>
                    </w:tabs>
                    <w:spacing w:line="360" w:lineRule="auto"/>
                    <w:rPr>
                      <w:rFonts w:eastAsia="Times New Roman"/>
                      <w:lang w:eastAsia="en-US"/>
                    </w:rPr>
                  </w:pPr>
                  <w:r w:rsidRPr="00306E4E">
                    <w:rPr>
                      <w:rFonts w:eastAsia="Times New Roman"/>
                      <w:lang w:eastAsia="en-US"/>
                    </w:rPr>
                    <w:t>20%</w:t>
                  </w:r>
                </w:p>
              </w:tc>
            </w:tr>
            <w:tr w:rsidR="00020902" w:rsidRPr="00306E4E" w:rsidTr="00F160C7">
              <w:tc>
                <w:tcPr>
                  <w:tcW w:w="6223" w:type="dxa"/>
                  <w:vAlign w:val="center"/>
                </w:tcPr>
                <w:p w:rsidR="00020902" w:rsidRPr="00306E4E" w:rsidRDefault="00020902" w:rsidP="000A74B7">
                  <w:pPr>
                    <w:tabs>
                      <w:tab w:val="left" w:pos="1440"/>
                      <w:tab w:val="left" w:pos="1528"/>
                    </w:tabs>
                    <w:rPr>
                      <w:rFonts w:eastAsia="Times New Roman"/>
                      <w:lang w:eastAsia="en-US"/>
                    </w:rPr>
                  </w:pPr>
                  <w:r w:rsidRPr="00306E4E">
                    <w:rPr>
                      <w:rFonts w:eastAsia="Times New Roman"/>
                      <w:lang w:eastAsia="en-US"/>
                    </w:rPr>
                    <w:t xml:space="preserve">Section 3 - </w:t>
                  </w:r>
                  <w:r w:rsidR="000A74B7" w:rsidRPr="00306E4E">
                    <w:t>Capability and experience to undertake this project</w:t>
                  </w:r>
                  <w:r w:rsidRPr="00306E4E">
                    <w:rPr>
                      <w:rFonts w:eastAsia="Times New Roman"/>
                      <w:lang w:eastAsia="en-US"/>
                    </w:rPr>
                    <w:t xml:space="preserve"> </w:t>
                  </w:r>
                </w:p>
                <w:p w:rsidR="000A74B7" w:rsidRPr="00306E4E" w:rsidRDefault="000A74B7" w:rsidP="00FF3459">
                  <w:pPr>
                    <w:rPr>
                      <w:color w:val="000000"/>
                    </w:rPr>
                  </w:pPr>
                </w:p>
                <w:p w:rsidR="00FF3459" w:rsidRPr="00306E4E" w:rsidRDefault="000A74B7" w:rsidP="00FF3459">
                  <w:pPr>
                    <w:rPr>
                      <w:color w:val="000000"/>
                    </w:rPr>
                  </w:pPr>
                  <w:r w:rsidRPr="00306E4E">
                    <w:rPr>
                      <w:color w:val="000000"/>
                    </w:rPr>
                    <w:t xml:space="preserve">Demonstrable </w:t>
                  </w:r>
                  <w:r w:rsidR="00FF3459" w:rsidRPr="00306E4E">
                    <w:rPr>
                      <w:color w:val="000000"/>
                    </w:rPr>
                    <w:t>qualifications and experience for this project with reference to the</w:t>
                  </w:r>
                  <w:r w:rsidRPr="00306E4E">
                    <w:rPr>
                      <w:color w:val="000000"/>
                    </w:rPr>
                    <w:t xml:space="preserve"> qualifications and skills requirements</w:t>
                  </w:r>
                  <w:r w:rsidR="00FF3459" w:rsidRPr="00306E4E">
                    <w:rPr>
                      <w:color w:val="000000"/>
                    </w:rPr>
                    <w:t xml:space="preserve"> set out in this ITT.</w:t>
                  </w:r>
                </w:p>
                <w:p w:rsidR="00FF3459" w:rsidRPr="00306E4E" w:rsidRDefault="00FF3459" w:rsidP="00020902">
                  <w:pPr>
                    <w:tabs>
                      <w:tab w:val="left" w:pos="1440"/>
                      <w:tab w:val="left" w:pos="1528"/>
                    </w:tabs>
                    <w:spacing w:line="360" w:lineRule="auto"/>
                    <w:rPr>
                      <w:rFonts w:eastAsia="Times New Roman"/>
                      <w:lang w:eastAsia="en-US"/>
                    </w:rPr>
                  </w:pPr>
                </w:p>
              </w:tc>
              <w:tc>
                <w:tcPr>
                  <w:tcW w:w="1280" w:type="dxa"/>
                  <w:vAlign w:val="center"/>
                </w:tcPr>
                <w:p w:rsidR="00020902" w:rsidRPr="00306E4E" w:rsidRDefault="00020902" w:rsidP="00020902">
                  <w:pPr>
                    <w:tabs>
                      <w:tab w:val="left" w:pos="1440"/>
                      <w:tab w:val="left" w:pos="1528"/>
                    </w:tabs>
                    <w:spacing w:line="360" w:lineRule="auto"/>
                    <w:rPr>
                      <w:rFonts w:eastAsia="Times New Roman"/>
                      <w:lang w:eastAsia="en-US"/>
                    </w:rPr>
                  </w:pPr>
                  <w:r w:rsidRPr="00306E4E">
                    <w:rPr>
                      <w:rFonts w:eastAsia="Times New Roman"/>
                      <w:lang w:eastAsia="en-US"/>
                    </w:rPr>
                    <w:t>50%</w:t>
                  </w:r>
                </w:p>
              </w:tc>
            </w:tr>
            <w:tr w:rsidR="00020902" w:rsidRPr="00306E4E" w:rsidTr="00F160C7">
              <w:tc>
                <w:tcPr>
                  <w:tcW w:w="6223" w:type="dxa"/>
                  <w:vAlign w:val="center"/>
                </w:tcPr>
                <w:p w:rsidR="00020902" w:rsidRPr="00306E4E" w:rsidRDefault="00020902" w:rsidP="00020902">
                  <w:pPr>
                    <w:tabs>
                      <w:tab w:val="left" w:pos="1440"/>
                      <w:tab w:val="left" w:pos="1528"/>
                    </w:tabs>
                    <w:spacing w:line="360" w:lineRule="auto"/>
                    <w:rPr>
                      <w:rFonts w:eastAsia="Times New Roman"/>
                      <w:lang w:eastAsia="en-US"/>
                    </w:rPr>
                  </w:pPr>
                  <w:r w:rsidRPr="00306E4E">
                    <w:rPr>
                      <w:rFonts w:eastAsia="Times New Roman"/>
                      <w:lang w:eastAsia="en-US"/>
                    </w:rPr>
                    <w:t>Section 4 – Costing/Price</w:t>
                  </w:r>
                </w:p>
                <w:p w:rsidR="00A731E3" w:rsidRPr="00306E4E" w:rsidRDefault="000A74B7" w:rsidP="00A731E3">
                  <w:pPr>
                    <w:tabs>
                      <w:tab w:val="left" w:pos="1440"/>
                      <w:tab w:val="left" w:pos="1528"/>
                    </w:tabs>
                    <w:rPr>
                      <w:rFonts w:eastAsia="Times New Roman"/>
                      <w:lang w:eastAsia="en-US"/>
                    </w:rPr>
                  </w:pPr>
                  <w:r w:rsidRPr="00306E4E">
                    <w:t>Full information provided on proposed day rate, draft workplan and estimate of time required to complete the specifications outlined in the ITT.</w:t>
                  </w:r>
                </w:p>
              </w:tc>
              <w:tc>
                <w:tcPr>
                  <w:tcW w:w="1280" w:type="dxa"/>
                  <w:vAlign w:val="center"/>
                </w:tcPr>
                <w:p w:rsidR="00020902" w:rsidRPr="00306E4E" w:rsidRDefault="00020902" w:rsidP="00020902">
                  <w:pPr>
                    <w:tabs>
                      <w:tab w:val="left" w:pos="1440"/>
                      <w:tab w:val="left" w:pos="1528"/>
                    </w:tabs>
                    <w:spacing w:line="360" w:lineRule="auto"/>
                    <w:rPr>
                      <w:rFonts w:eastAsia="Times New Roman"/>
                      <w:lang w:eastAsia="en-US"/>
                    </w:rPr>
                  </w:pPr>
                  <w:r w:rsidRPr="00306E4E">
                    <w:rPr>
                      <w:rFonts w:eastAsia="Times New Roman"/>
                      <w:lang w:eastAsia="en-US"/>
                    </w:rPr>
                    <w:t>30%</w:t>
                  </w:r>
                </w:p>
              </w:tc>
            </w:tr>
          </w:tbl>
          <w:p w:rsidR="00020902" w:rsidRPr="00306E4E" w:rsidRDefault="00020902" w:rsidP="00020902">
            <w:pPr>
              <w:rPr>
                <w:rFonts w:eastAsia="Times New Roman"/>
                <w:lang w:eastAsia="en-US"/>
              </w:rPr>
            </w:pPr>
          </w:p>
          <w:p w:rsidR="00020902" w:rsidRPr="00306E4E" w:rsidRDefault="00020902" w:rsidP="00020902">
            <w:pPr>
              <w:rPr>
                <w:rFonts w:eastAsia="Times New Roman"/>
                <w:lang w:eastAsia="en-US"/>
              </w:rPr>
            </w:pPr>
            <w:r w:rsidRPr="00306E4E">
              <w:t xml:space="preserve">Evaluation of submitted responses will be undertaken by the evaluation panel. This will consist of British Council representatives with significant experience and knowledge of the requirements. </w:t>
            </w:r>
            <w:r w:rsidRPr="00306E4E">
              <w:rPr>
                <w:rFonts w:eastAsia="Times New Roman"/>
                <w:lang w:eastAsia="en-US"/>
              </w:rPr>
              <w:t xml:space="preserve">The qualitative aspects of your response will be evaluated entirely on your response submitted. </w:t>
            </w:r>
            <w:r w:rsidRPr="00306E4E">
              <w:t>Evaluation of all submissions will only consider information presented within the response. Previous/current relationships with suppliers cannot be taken into account when evaluating submissions. Any previous experience must be clearly evidenced within the response. Evaluation will be fair and transparent.</w:t>
            </w:r>
          </w:p>
          <w:p w:rsidR="00020902" w:rsidRPr="00306E4E" w:rsidRDefault="00020902" w:rsidP="00020902">
            <w:pPr>
              <w:rPr>
                <w:rFonts w:eastAsia="Times New Roman"/>
                <w:lang w:eastAsia="en-US"/>
              </w:rPr>
            </w:pPr>
          </w:p>
          <w:p w:rsidR="00020902" w:rsidRPr="00306E4E" w:rsidRDefault="00020902" w:rsidP="00020902">
            <w:pPr>
              <w:rPr>
                <w:rFonts w:eastAsia="Times New Roman"/>
                <w:lang w:eastAsia="en-US"/>
              </w:rPr>
            </w:pPr>
            <w:r w:rsidRPr="00306E4E">
              <w:rPr>
                <w:rFonts w:eastAsia="Times New Roman"/>
                <w:lang w:eastAsia="en-US"/>
              </w:rPr>
              <w:t xml:space="preserve">The responses under each section will be scored based on the following matrix: </w:t>
            </w:r>
          </w:p>
          <w:p w:rsidR="00020902" w:rsidRPr="00306E4E" w:rsidRDefault="00020902" w:rsidP="00020902">
            <w:pPr>
              <w:rPr>
                <w:rFonts w:eastAsia="Times New Roman"/>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647"/>
            </w:tblGrid>
            <w:tr w:rsidR="00020902" w:rsidRPr="00306E4E" w:rsidTr="0030466A">
              <w:trPr>
                <w:cantSplit/>
              </w:trPr>
              <w:tc>
                <w:tcPr>
                  <w:tcW w:w="0" w:type="auto"/>
                  <w:shd w:val="clear" w:color="auto" w:fill="808080" w:themeFill="background1" w:themeFillShade="80"/>
                  <w:vAlign w:val="center"/>
                </w:tcPr>
                <w:p w:rsidR="00020902" w:rsidRPr="00306E4E" w:rsidRDefault="00020902" w:rsidP="00020902">
                  <w:pPr>
                    <w:tabs>
                      <w:tab w:val="left" w:pos="1440"/>
                    </w:tabs>
                    <w:spacing w:line="360" w:lineRule="auto"/>
                    <w:rPr>
                      <w:b/>
                      <w:color w:val="FFFFFF" w:themeColor="background1"/>
                    </w:rPr>
                  </w:pPr>
                  <w:r w:rsidRPr="00306E4E">
                    <w:rPr>
                      <w:b/>
                      <w:color w:val="FFFFFF" w:themeColor="background1"/>
                    </w:rPr>
                    <w:t>Points</w:t>
                  </w:r>
                </w:p>
              </w:tc>
              <w:tc>
                <w:tcPr>
                  <w:tcW w:w="6647" w:type="dxa"/>
                  <w:shd w:val="clear" w:color="auto" w:fill="808080" w:themeFill="background1" w:themeFillShade="80"/>
                  <w:vAlign w:val="center"/>
                </w:tcPr>
                <w:p w:rsidR="00020902" w:rsidRPr="00306E4E" w:rsidRDefault="00020902" w:rsidP="00020902">
                  <w:pPr>
                    <w:tabs>
                      <w:tab w:val="left" w:pos="1440"/>
                    </w:tabs>
                    <w:spacing w:line="360" w:lineRule="auto"/>
                    <w:rPr>
                      <w:b/>
                      <w:color w:val="FFFFFF" w:themeColor="background1"/>
                    </w:rPr>
                  </w:pPr>
                  <w:r w:rsidRPr="00306E4E">
                    <w:rPr>
                      <w:b/>
                      <w:color w:val="FFFFFF" w:themeColor="background1"/>
                    </w:rPr>
                    <w:t>Interpretation</w:t>
                  </w:r>
                </w:p>
              </w:tc>
            </w:tr>
            <w:tr w:rsidR="00020902" w:rsidRPr="00306E4E" w:rsidTr="00F160C7">
              <w:trPr>
                <w:cantSplit/>
              </w:trPr>
              <w:tc>
                <w:tcPr>
                  <w:tcW w:w="0" w:type="auto"/>
                  <w:vAlign w:val="center"/>
                </w:tcPr>
                <w:p w:rsidR="00020902" w:rsidRPr="00306E4E" w:rsidRDefault="00020902" w:rsidP="00020902">
                  <w:pPr>
                    <w:tabs>
                      <w:tab w:val="left" w:pos="1440"/>
                    </w:tabs>
                    <w:spacing w:line="360" w:lineRule="auto"/>
                  </w:pPr>
                  <w:r w:rsidRPr="00306E4E">
                    <w:t>15</w:t>
                  </w:r>
                </w:p>
              </w:tc>
              <w:tc>
                <w:tcPr>
                  <w:tcW w:w="6647" w:type="dxa"/>
                  <w:vAlign w:val="center"/>
                </w:tcPr>
                <w:p w:rsidR="00020902" w:rsidRPr="00306E4E" w:rsidRDefault="00020902" w:rsidP="00020902">
                  <w:pPr>
                    <w:tabs>
                      <w:tab w:val="left" w:pos="1440"/>
                    </w:tabs>
                  </w:pPr>
                  <w:r w:rsidRPr="00306E4E">
                    <w:t>A comprehensive and strong answer indicating the supplier is fully capable and experienced to deliver the required outcomes. A detailed response that directly responds to all requirements with no ambiguity and relevant examples provided.</w:t>
                  </w:r>
                </w:p>
              </w:tc>
            </w:tr>
            <w:tr w:rsidR="00020902" w:rsidRPr="00306E4E" w:rsidTr="00F160C7">
              <w:trPr>
                <w:cantSplit/>
              </w:trPr>
              <w:tc>
                <w:tcPr>
                  <w:tcW w:w="0" w:type="auto"/>
                  <w:vAlign w:val="center"/>
                </w:tcPr>
                <w:p w:rsidR="00020902" w:rsidRPr="00306E4E" w:rsidRDefault="00020902" w:rsidP="00020902">
                  <w:pPr>
                    <w:tabs>
                      <w:tab w:val="left" w:pos="1440"/>
                    </w:tabs>
                    <w:spacing w:line="360" w:lineRule="auto"/>
                  </w:pPr>
                  <w:r w:rsidRPr="00306E4E">
                    <w:t>12</w:t>
                  </w:r>
                </w:p>
              </w:tc>
              <w:tc>
                <w:tcPr>
                  <w:tcW w:w="6647" w:type="dxa"/>
                  <w:vAlign w:val="center"/>
                </w:tcPr>
                <w:p w:rsidR="00020902" w:rsidRPr="00306E4E" w:rsidRDefault="00020902" w:rsidP="00020902">
                  <w:pPr>
                    <w:tabs>
                      <w:tab w:val="left" w:pos="1440"/>
                    </w:tabs>
                  </w:pPr>
                  <w:r w:rsidRPr="00306E4E">
                    <w:t>There are slight concerns that the supplier will not be able to achieve all the outcomes required and response lacked details of relevant experience. A less detailed response that broadly responds to the requirement with some ambiguity and few relevant examples provided.</w:t>
                  </w:r>
                </w:p>
              </w:tc>
            </w:tr>
            <w:tr w:rsidR="00020902" w:rsidRPr="00306E4E" w:rsidTr="00F160C7">
              <w:trPr>
                <w:cantSplit/>
              </w:trPr>
              <w:tc>
                <w:tcPr>
                  <w:tcW w:w="0" w:type="auto"/>
                  <w:vAlign w:val="center"/>
                </w:tcPr>
                <w:p w:rsidR="00020902" w:rsidRPr="00306E4E" w:rsidRDefault="00020902" w:rsidP="00020902">
                  <w:pPr>
                    <w:tabs>
                      <w:tab w:val="left" w:pos="1440"/>
                    </w:tabs>
                    <w:spacing w:line="360" w:lineRule="auto"/>
                  </w:pPr>
                  <w:r w:rsidRPr="00306E4E">
                    <w:t>10</w:t>
                  </w:r>
                </w:p>
              </w:tc>
              <w:tc>
                <w:tcPr>
                  <w:tcW w:w="6647" w:type="dxa"/>
                  <w:vAlign w:val="center"/>
                </w:tcPr>
                <w:p w:rsidR="00020902" w:rsidRPr="00306E4E" w:rsidRDefault="00020902" w:rsidP="00020902">
                  <w:pPr>
                    <w:tabs>
                      <w:tab w:val="left" w:pos="1440"/>
                    </w:tabs>
                  </w:pPr>
                  <w:r w:rsidRPr="00306E4E">
                    <w:t>There are concerns that the supplier will not be able to achieve the outcomes required and response significantly lacks details of relevant experience. A less detailed response that broadly responds to the requirement with some ambiguity and no/irrelevant examples provided.</w:t>
                  </w:r>
                </w:p>
              </w:tc>
            </w:tr>
            <w:tr w:rsidR="00020902" w:rsidRPr="00306E4E" w:rsidTr="00F160C7">
              <w:trPr>
                <w:cantSplit/>
              </w:trPr>
              <w:tc>
                <w:tcPr>
                  <w:tcW w:w="0" w:type="auto"/>
                  <w:vAlign w:val="center"/>
                </w:tcPr>
                <w:p w:rsidR="00020902" w:rsidRPr="00306E4E" w:rsidRDefault="00020902" w:rsidP="00020902">
                  <w:pPr>
                    <w:tabs>
                      <w:tab w:val="left" w:pos="1440"/>
                    </w:tabs>
                    <w:spacing w:line="360" w:lineRule="auto"/>
                  </w:pPr>
                  <w:r w:rsidRPr="00306E4E">
                    <w:t>5</w:t>
                  </w:r>
                </w:p>
              </w:tc>
              <w:tc>
                <w:tcPr>
                  <w:tcW w:w="6647" w:type="dxa"/>
                  <w:vAlign w:val="center"/>
                </w:tcPr>
                <w:p w:rsidR="00020902" w:rsidRPr="00306E4E" w:rsidRDefault="00020902" w:rsidP="00020902">
                  <w:pPr>
                    <w:tabs>
                      <w:tab w:val="left" w:pos="1440"/>
                    </w:tabs>
                  </w:pPr>
                  <w:r w:rsidRPr="00306E4E">
                    <w:t>There are serious indications that the supplier will not be able to achieve the outcomes required and has not provided appropriate evidence of experience to successfully deliver the outcomes required. A response that is not entirely relevant to the requirement, with ambiguity and lacking specific detail.</w:t>
                  </w:r>
                </w:p>
              </w:tc>
            </w:tr>
            <w:tr w:rsidR="00020902" w:rsidRPr="00306E4E" w:rsidTr="00F160C7">
              <w:trPr>
                <w:cantSplit/>
              </w:trPr>
              <w:tc>
                <w:tcPr>
                  <w:tcW w:w="0" w:type="auto"/>
                  <w:vAlign w:val="center"/>
                </w:tcPr>
                <w:p w:rsidR="00020902" w:rsidRPr="00306E4E" w:rsidRDefault="00020902" w:rsidP="00020902">
                  <w:pPr>
                    <w:tabs>
                      <w:tab w:val="left" w:pos="1440"/>
                    </w:tabs>
                    <w:spacing w:line="360" w:lineRule="auto"/>
                  </w:pPr>
                  <w:r w:rsidRPr="00306E4E">
                    <w:t>0</w:t>
                  </w:r>
                </w:p>
              </w:tc>
              <w:tc>
                <w:tcPr>
                  <w:tcW w:w="6647" w:type="dxa"/>
                  <w:vAlign w:val="center"/>
                </w:tcPr>
                <w:p w:rsidR="00020902" w:rsidRPr="00306E4E" w:rsidRDefault="00020902" w:rsidP="00020902">
                  <w:pPr>
                    <w:tabs>
                      <w:tab w:val="left" w:pos="1440"/>
                    </w:tabs>
                  </w:pPr>
                  <w:r w:rsidRPr="00306E4E">
                    <w:t>The answer is non-compliant and/or no relevant information has been received to demonstrate the supplier can achieve the required outcomes. No response or a response that is entirely irrelevant.</w:t>
                  </w:r>
                </w:p>
              </w:tc>
            </w:tr>
          </w:tbl>
          <w:p w:rsidR="00020902" w:rsidRPr="00306E4E" w:rsidRDefault="00020902" w:rsidP="00020902">
            <w:pPr>
              <w:tabs>
                <w:tab w:val="left" w:pos="1545"/>
              </w:tabs>
              <w:rPr>
                <w:rFonts w:eastAsia="Times New Roman"/>
                <w:lang w:eastAsia="en-US"/>
              </w:rPr>
            </w:pPr>
          </w:p>
          <w:p w:rsidR="00020902" w:rsidRPr="00306E4E" w:rsidRDefault="00020902" w:rsidP="00020902">
            <w:pPr>
              <w:rPr>
                <w:rFonts w:eastAsia="Times New Roman"/>
                <w:lang w:eastAsia="en-US"/>
              </w:rPr>
            </w:pPr>
            <w:r w:rsidRPr="00306E4E">
              <w:rPr>
                <w:rFonts w:eastAsia="Times New Roman"/>
                <w:lang w:eastAsia="en-US"/>
              </w:rPr>
              <w:t>The pricing evaluation will be based on the response with the lowest overall cost being assigned 30% and all other responses will be calculated pro-rata.</w:t>
            </w:r>
          </w:p>
          <w:p w:rsidR="00020902" w:rsidRPr="00306E4E" w:rsidRDefault="00020902" w:rsidP="00020902">
            <w:pPr>
              <w:rPr>
                <w:rFonts w:eastAsia="Times New Roman"/>
                <w:lang w:eastAsia="en-US"/>
              </w:rPr>
            </w:pPr>
          </w:p>
          <w:p w:rsidR="00020902" w:rsidRPr="00306E4E" w:rsidRDefault="00020902" w:rsidP="00020902">
            <w:pPr>
              <w:rPr>
                <w:rFonts w:eastAsia="Times New Roman"/>
                <w:lang w:eastAsia="en-US"/>
              </w:rPr>
            </w:pPr>
            <w:r w:rsidRPr="00306E4E">
              <w:rPr>
                <w:rFonts w:eastAsia="Times New Roman"/>
                <w:lang w:eastAsia="en-US"/>
              </w:rPr>
              <w:t>The final evaluation score will then be calculated for each response by adding together the scores for each Section.</w:t>
            </w:r>
          </w:p>
          <w:p w:rsidR="00020902" w:rsidRPr="00306E4E" w:rsidRDefault="00020902" w:rsidP="00020902"/>
        </w:tc>
      </w:tr>
      <w:tr w:rsidR="00020902" w:rsidRPr="008E1649" w:rsidTr="003F5304">
        <w:tc>
          <w:tcPr>
            <w:tcW w:w="1640" w:type="dxa"/>
          </w:tcPr>
          <w:p w:rsidR="00020902" w:rsidRPr="008E1649" w:rsidRDefault="00020902" w:rsidP="00020902">
            <w:pPr>
              <w:rPr>
                <w:b/>
                <w:sz w:val="22"/>
                <w:szCs w:val="22"/>
              </w:rPr>
            </w:pPr>
          </w:p>
          <w:p w:rsidR="00020902" w:rsidRPr="008E1649" w:rsidRDefault="00020902" w:rsidP="00020902">
            <w:pPr>
              <w:rPr>
                <w:b/>
                <w:bCs/>
                <w:sz w:val="22"/>
                <w:szCs w:val="22"/>
              </w:rPr>
            </w:pPr>
            <w:r w:rsidRPr="008E1649">
              <w:rPr>
                <w:b/>
                <w:sz w:val="22"/>
                <w:szCs w:val="22"/>
              </w:rPr>
              <w:t>Conditions &amp; Contractual Requirements</w:t>
            </w:r>
          </w:p>
        </w:tc>
        <w:tc>
          <w:tcPr>
            <w:tcW w:w="8142" w:type="dxa"/>
          </w:tcPr>
          <w:p w:rsidR="00020902" w:rsidRPr="00306E4E" w:rsidRDefault="00020902" w:rsidP="00020902"/>
          <w:p w:rsidR="00020902" w:rsidRPr="00BF701C" w:rsidRDefault="00020902" w:rsidP="00020902">
            <w:r w:rsidRPr="00306E4E">
              <w:t xml:space="preserve">The contract will be awarded until </w:t>
            </w:r>
            <w:r w:rsidRPr="00BF701C">
              <w:t xml:space="preserve">the </w:t>
            </w:r>
            <w:r w:rsidR="00BF701C" w:rsidRPr="00BF701C">
              <w:rPr>
                <w:b/>
              </w:rPr>
              <w:t>30</w:t>
            </w:r>
            <w:r w:rsidR="00BF701C" w:rsidRPr="00BF701C">
              <w:rPr>
                <w:b/>
                <w:vertAlign w:val="superscript"/>
              </w:rPr>
              <w:t>th</w:t>
            </w:r>
            <w:r w:rsidR="00BF701C" w:rsidRPr="00BF701C">
              <w:rPr>
                <w:b/>
              </w:rPr>
              <w:t xml:space="preserve"> June</w:t>
            </w:r>
            <w:r w:rsidRPr="00BF701C">
              <w:rPr>
                <w:b/>
              </w:rPr>
              <w:t xml:space="preserve"> 201</w:t>
            </w:r>
            <w:r w:rsidR="00E75903" w:rsidRPr="00BF701C">
              <w:rPr>
                <w:b/>
              </w:rPr>
              <w:t>7</w:t>
            </w:r>
            <w:r w:rsidRPr="00BF701C">
              <w:t>.</w:t>
            </w:r>
          </w:p>
          <w:p w:rsidR="00020902" w:rsidRPr="00306E4E" w:rsidRDefault="00020902" w:rsidP="00020902"/>
          <w:p w:rsidR="00020902" w:rsidRPr="00306E4E" w:rsidRDefault="00020902" w:rsidP="00020902">
            <w:r w:rsidRPr="00306E4E">
              <w:t xml:space="preserve">The British Council is committed to open government and to meeting its legal responsibilities under the Freedom of Information Act 2000. Accordingly, all information submitted to a public authority may need to be disclosed by the public authority in </w:t>
            </w:r>
            <w:r w:rsidRPr="00306E4E">
              <w:lastRenderedPageBreak/>
              <w:t xml:space="preserve">response to a request under the Act.  The British Council may also decide to include certain information in the publication scheme, which the British Council maintains under the Act. </w:t>
            </w:r>
          </w:p>
          <w:p w:rsidR="00020902" w:rsidRPr="00306E4E" w:rsidRDefault="00020902" w:rsidP="00020902"/>
          <w:p w:rsidR="00020902" w:rsidRPr="00306E4E" w:rsidRDefault="00020902" w:rsidP="00020902">
            <w:r w:rsidRPr="00306E4E">
              <w:t xml:space="preserve">If </w:t>
            </w:r>
            <w:r w:rsidR="00D82BFB">
              <w:t>the Consultant</w:t>
            </w:r>
            <w:r w:rsidRPr="00306E4E">
              <w:t xml:space="preserve"> considers that any of the information included in their completed documentation is commercially sensitive, </w:t>
            </w:r>
            <w:r w:rsidR="00D82BFB">
              <w:t>they</w:t>
            </w:r>
            <w:r w:rsidRPr="00306E4E">
              <w:t xml:space="preserve"> should identify it and explain (in broad terms) what harm may result from disclosure if a request is received, and the time period applicable to that sensitivity. </w:t>
            </w:r>
          </w:p>
          <w:p w:rsidR="00020902" w:rsidRPr="00306E4E" w:rsidRDefault="00020902" w:rsidP="00020902"/>
          <w:p w:rsidR="00020902" w:rsidRPr="00306E4E" w:rsidRDefault="00020902" w:rsidP="00020902">
            <w:r w:rsidRPr="00306E4E">
              <w:t xml:space="preserve">The </w:t>
            </w:r>
            <w:r w:rsidR="00D82BFB">
              <w:t>Consultant</w:t>
            </w:r>
            <w:r w:rsidRPr="00306E4E">
              <w:t xml:space="preserve"> should be aware that, even where they have indicated that information is commercially sensitive, the British Council might be required to disclose it under the Act if a request is received.  </w:t>
            </w:r>
          </w:p>
          <w:p w:rsidR="00FF3459" w:rsidRPr="00306E4E" w:rsidRDefault="00FF3459" w:rsidP="00020902"/>
          <w:p w:rsidR="00020902" w:rsidRPr="00306E4E" w:rsidRDefault="00020902" w:rsidP="00020902">
            <w:r w:rsidRPr="00306E4E">
              <w:t xml:space="preserve">The </w:t>
            </w:r>
            <w:r w:rsidR="00D82BFB">
              <w:t>Consultant</w:t>
            </w:r>
            <w:r w:rsidRPr="00306E4E">
              <w:t xml:space="preserve"> should also note that the receipt of any material marked ‘confidential’ or equivalent by the British Council should not be taken to mean that the British Council accepts any duty of confidence by virtue of that marking.</w:t>
            </w:r>
          </w:p>
          <w:p w:rsidR="00020902" w:rsidRPr="00306E4E" w:rsidRDefault="00020902" w:rsidP="00020902"/>
          <w:p w:rsidR="00020902" w:rsidRPr="00306E4E" w:rsidRDefault="00020902" w:rsidP="00020902">
            <w:r w:rsidRPr="00306E4E">
              <w:t xml:space="preserve">All relevant policies that </w:t>
            </w:r>
            <w:r w:rsidR="00D82BFB">
              <w:t>Consultants</w:t>
            </w:r>
            <w:r w:rsidRPr="00306E4E">
              <w:t xml:space="preserve"> are expected to adhere to can be found on the British Council website – </w:t>
            </w:r>
            <w:hyperlink r:id="rId13" w:history="1">
              <w:r w:rsidRPr="00306E4E">
                <w:rPr>
                  <w:rStyle w:val="Hyperlink"/>
                </w:rPr>
                <w:t>http://www.britishcouncil.org/new/about-us/jobs/folder_jobs/register-as-a-Consultant/policies-for-Consultants-and-associates/</w:t>
              </w:r>
            </w:hyperlink>
            <w:r w:rsidRPr="00306E4E">
              <w:t xml:space="preserve">  The list of policies includes (</w:t>
            </w:r>
            <w:r w:rsidRPr="00306E4E">
              <w:rPr>
                <w:b/>
              </w:rPr>
              <w:t>but it is not limited to</w:t>
            </w:r>
            <w:r w:rsidRPr="00306E4E">
              <w:t>):</w:t>
            </w:r>
          </w:p>
          <w:p w:rsidR="00020902" w:rsidRPr="00306E4E" w:rsidRDefault="00020902" w:rsidP="00020902"/>
          <w:p w:rsidR="00020902" w:rsidRPr="00306E4E" w:rsidRDefault="00020902" w:rsidP="00020902">
            <w:r w:rsidRPr="00306E4E">
              <w:t>- Child Protection Policy</w:t>
            </w:r>
          </w:p>
          <w:p w:rsidR="00020902" w:rsidRPr="00306E4E" w:rsidRDefault="00020902" w:rsidP="00020902">
            <w:r w:rsidRPr="00306E4E">
              <w:t>- Code of Conduct</w:t>
            </w:r>
          </w:p>
          <w:p w:rsidR="00020902" w:rsidRPr="00306E4E" w:rsidRDefault="00020902" w:rsidP="00020902">
            <w:r w:rsidRPr="00306E4E">
              <w:t>- Equal Opportunities Policy</w:t>
            </w:r>
          </w:p>
          <w:p w:rsidR="00020902" w:rsidRPr="00306E4E" w:rsidRDefault="00020902" w:rsidP="00020902">
            <w:r w:rsidRPr="00306E4E">
              <w:t>- Health and Safety Policy</w:t>
            </w:r>
          </w:p>
          <w:p w:rsidR="00020902" w:rsidRPr="00306E4E" w:rsidRDefault="00020902" w:rsidP="00020902">
            <w:r w:rsidRPr="00306E4E">
              <w:t>- Global Privacy Policy</w:t>
            </w:r>
          </w:p>
          <w:p w:rsidR="00020902" w:rsidRPr="00306E4E" w:rsidRDefault="00020902" w:rsidP="00020902">
            <w:r w:rsidRPr="00306E4E">
              <w:t xml:space="preserve">- Environmental Policy  </w:t>
            </w:r>
          </w:p>
          <w:p w:rsidR="00020902" w:rsidRPr="00306E4E" w:rsidRDefault="00020902" w:rsidP="00020902">
            <w:r w:rsidRPr="00306E4E">
              <w:t>- Pro-forma invoice and expenses claim</w:t>
            </w:r>
          </w:p>
          <w:p w:rsidR="00020902" w:rsidRPr="00306E4E" w:rsidRDefault="00020902" w:rsidP="00020902">
            <w:r w:rsidRPr="00306E4E">
              <w:t>- Personal Information Charter</w:t>
            </w:r>
          </w:p>
          <w:p w:rsidR="00020902" w:rsidRPr="00306E4E" w:rsidRDefault="00020902" w:rsidP="00020902">
            <w:r w:rsidRPr="00306E4E">
              <w:t>- Social Media Code and Guidelines (if applicable)</w:t>
            </w:r>
          </w:p>
          <w:p w:rsidR="00020902" w:rsidRPr="00306E4E" w:rsidRDefault="00020902" w:rsidP="00020902">
            <w:r w:rsidRPr="00306E4E">
              <w:t xml:space="preserve">- Data Protection Policy relating to audio-visual consent (if applicable)               </w:t>
            </w:r>
          </w:p>
          <w:p w:rsidR="00020902" w:rsidRPr="00306E4E" w:rsidRDefault="00020902" w:rsidP="00020902">
            <w:r w:rsidRPr="00306E4E">
              <w:t>- Travel &amp; Expenses Policy (if applicable)</w:t>
            </w:r>
          </w:p>
          <w:p w:rsidR="00020902" w:rsidRPr="00306E4E" w:rsidRDefault="00020902" w:rsidP="00020902"/>
          <w:p w:rsidR="00020902" w:rsidRPr="00306E4E" w:rsidRDefault="00020902" w:rsidP="00020902">
            <w:r w:rsidRPr="00306E4E">
              <w:t xml:space="preserve">Mandatory due diligence and discretionary rejection information included in Annex 1 will form part of your response to this ITT. </w:t>
            </w:r>
          </w:p>
          <w:p w:rsidR="00020902" w:rsidRPr="00306E4E" w:rsidRDefault="00020902" w:rsidP="00020902"/>
          <w:p w:rsidR="00020902" w:rsidRPr="00306E4E" w:rsidRDefault="00020902" w:rsidP="00020902">
            <w:r w:rsidRPr="00306E4E">
              <w:t xml:space="preserve">Any submissions must expressly accept the British Council’s minimum Contract Terms and Conditions. If you have any objections please state separately in writing. </w:t>
            </w:r>
          </w:p>
          <w:p w:rsidR="00020902" w:rsidRPr="00306E4E" w:rsidRDefault="00020902" w:rsidP="00020902"/>
          <w:p w:rsidR="00020902" w:rsidRPr="00306E4E" w:rsidRDefault="00020902" w:rsidP="00020902">
            <w:pPr>
              <w:rPr>
                <w:color w:val="FF0000"/>
              </w:rPr>
            </w:pPr>
            <w:r w:rsidRPr="00306E4E">
              <w:t>A copy of the draft Contract is attached at Annex 2.</w:t>
            </w:r>
          </w:p>
          <w:p w:rsidR="00020902" w:rsidRPr="00306E4E" w:rsidRDefault="00020902" w:rsidP="00020902">
            <w:pPr>
              <w:rPr>
                <w:b/>
              </w:rPr>
            </w:pPr>
          </w:p>
          <w:p w:rsidR="00020902" w:rsidRPr="00306E4E" w:rsidRDefault="00020902" w:rsidP="00020902">
            <w:pPr>
              <w:rPr>
                <w:b/>
              </w:rPr>
            </w:pPr>
            <w:r w:rsidRPr="00306E4E">
              <w:rPr>
                <w:b/>
              </w:rPr>
              <w:t>Confidentiality</w:t>
            </w:r>
          </w:p>
          <w:p w:rsidR="00020902" w:rsidRPr="00306E4E" w:rsidRDefault="00020902" w:rsidP="00020902">
            <w:r w:rsidRPr="00306E4E">
              <w:t xml:space="preserve">All information contained within this document is confidential and is provided only to give </w:t>
            </w:r>
            <w:r w:rsidR="00D82BFB">
              <w:t>Consultants</w:t>
            </w:r>
            <w:r w:rsidRPr="00306E4E">
              <w:t xml:space="preserve"> an adequate understanding of the British Council’s requirements and under no circumstances should be disclosed to a third party without the British Council’s consent.</w:t>
            </w:r>
          </w:p>
          <w:p w:rsidR="00020902" w:rsidRPr="00306E4E" w:rsidRDefault="00020902" w:rsidP="00020902"/>
          <w:p w:rsidR="00020902" w:rsidRPr="00306E4E" w:rsidRDefault="00020902" w:rsidP="00020902">
            <w:r w:rsidRPr="00306E4E">
              <w:t xml:space="preserve">The contents of this ITT are being made available by the British Council on condition that: </w:t>
            </w:r>
          </w:p>
          <w:p w:rsidR="00020902" w:rsidRPr="00306E4E" w:rsidRDefault="00020902" w:rsidP="00020902"/>
          <w:p w:rsidR="00020902" w:rsidRPr="00306E4E" w:rsidRDefault="00D82BFB" w:rsidP="00020902">
            <w:pPr>
              <w:numPr>
                <w:ilvl w:val="0"/>
                <w:numId w:val="3"/>
              </w:numPr>
              <w:ind w:left="420" w:hanging="284"/>
            </w:pPr>
            <w:r>
              <w:t>Consultants</w:t>
            </w:r>
            <w:r w:rsidR="00020902" w:rsidRPr="00306E4E">
              <w:t xml:space="preserve"> shall at all times treat the contents of the ITT and any related documents (together called the ‘Information’) as confidential, save in so far as they are already in the public domain;</w:t>
            </w:r>
          </w:p>
          <w:p w:rsidR="00020902" w:rsidRPr="00306E4E" w:rsidRDefault="00D82BFB" w:rsidP="00020902">
            <w:pPr>
              <w:numPr>
                <w:ilvl w:val="0"/>
                <w:numId w:val="3"/>
              </w:numPr>
              <w:ind w:left="420" w:hanging="284"/>
            </w:pPr>
            <w:r>
              <w:t>Consultant</w:t>
            </w:r>
            <w:r w:rsidR="00020902" w:rsidRPr="00306E4E">
              <w:t>s shall not disclose, copy, reproduce, distribute or pass any of the Information to any other person at any time;</w:t>
            </w:r>
          </w:p>
          <w:p w:rsidR="00020902" w:rsidRPr="00306E4E" w:rsidRDefault="00D82BFB" w:rsidP="00020902">
            <w:pPr>
              <w:numPr>
                <w:ilvl w:val="0"/>
                <w:numId w:val="3"/>
              </w:numPr>
              <w:ind w:left="420" w:hanging="284"/>
            </w:pPr>
            <w:r>
              <w:t>Consultant</w:t>
            </w:r>
            <w:r w:rsidR="00020902" w:rsidRPr="00306E4E">
              <w:t>s shall not use any of the Information for any purpose other than for the purposes of submitting (or deciding whether to submit) a Tender response; and</w:t>
            </w:r>
          </w:p>
          <w:p w:rsidR="00020902" w:rsidRPr="00306E4E" w:rsidRDefault="00D82BFB" w:rsidP="00020902">
            <w:pPr>
              <w:numPr>
                <w:ilvl w:val="0"/>
                <w:numId w:val="3"/>
              </w:numPr>
              <w:ind w:left="420" w:hanging="284"/>
            </w:pPr>
            <w:r>
              <w:t>Consultant</w:t>
            </w:r>
            <w:r w:rsidR="00020902" w:rsidRPr="00306E4E">
              <w:t>s shall not undertake any publicity activity within any section of the media.</w:t>
            </w:r>
          </w:p>
          <w:p w:rsidR="00020902" w:rsidRPr="00306E4E" w:rsidRDefault="00020902" w:rsidP="00020902">
            <w:pPr>
              <w:ind w:left="278"/>
            </w:pPr>
          </w:p>
          <w:p w:rsidR="00020902" w:rsidRPr="00306E4E" w:rsidRDefault="00D82BFB" w:rsidP="00020902">
            <w:r>
              <w:t>Consultant</w:t>
            </w:r>
            <w:r w:rsidR="00020902" w:rsidRPr="00306E4E">
              <w:t xml:space="preserve">s may disclose, distribute or pass any of the Information to the </w:t>
            </w:r>
            <w:r>
              <w:t>Consultant’s</w:t>
            </w:r>
            <w:r w:rsidR="00020902" w:rsidRPr="00306E4E">
              <w:t xml:space="preserve"> advisers, sub-contractors (if applicable) or to another person provided that either:</w:t>
            </w:r>
          </w:p>
          <w:p w:rsidR="00020902" w:rsidRPr="00306E4E" w:rsidRDefault="00020902" w:rsidP="00020902"/>
          <w:p w:rsidR="00020902" w:rsidRPr="00306E4E" w:rsidRDefault="00020902" w:rsidP="00020902">
            <w:pPr>
              <w:numPr>
                <w:ilvl w:val="0"/>
                <w:numId w:val="4"/>
              </w:numPr>
              <w:ind w:left="420" w:hanging="284"/>
            </w:pPr>
            <w:r w:rsidRPr="00306E4E">
              <w:t xml:space="preserve">This is done for the sole purpose of enabling a Tender response to be submitted and the person receiving the Information undertakes in writing to keep the Information confidential on the same terms as if that person were the </w:t>
            </w:r>
            <w:r w:rsidR="00D82BFB">
              <w:t>Consultant</w:t>
            </w:r>
            <w:r w:rsidRPr="00306E4E">
              <w:t>; or</w:t>
            </w:r>
          </w:p>
          <w:p w:rsidR="00020902" w:rsidRPr="00306E4E" w:rsidRDefault="00020902" w:rsidP="00020902">
            <w:pPr>
              <w:numPr>
                <w:ilvl w:val="0"/>
                <w:numId w:val="4"/>
              </w:numPr>
              <w:ind w:left="420" w:hanging="284"/>
            </w:pPr>
            <w:r w:rsidRPr="00306E4E">
              <w:t xml:space="preserve">The </w:t>
            </w:r>
            <w:r w:rsidR="00D82BFB">
              <w:t>Consultant</w:t>
            </w:r>
            <w:r w:rsidRPr="00306E4E">
              <w:t xml:space="preserve"> obtains the prior written consent of the British Council in relation to such disclosure, distribution or passing of Information; or</w:t>
            </w:r>
          </w:p>
          <w:p w:rsidR="00020902" w:rsidRPr="00306E4E" w:rsidRDefault="00020902" w:rsidP="00020902">
            <w:pPr>
              <w:numPr>
                <w:ilvl w:val="0"/>
                <w:numId w:val="4"/>
              </w:numPr>
              <w:ind w:left="420" w:hanging="284"/>
            </w:pPr>
            <w:r w:rsidRPr="00306E4E">
              <w:t>The disclosure is made for the sole purpose of obtaining legal advice from external lawyers in relation to the procurement or to any Contract arising from it; or</w:t>
            </w:r>
          </w:p>
          <w:p w:rsidR="00020902" w:rsidRPr="00306E4E" w:rsidRDefault="00020902" w:rsidP="00020902">
            <w:pPr>
              <w:numPr>
                <w:ilvl w:val="0"/>
                <w:numId w:val="4"/>
              </w:numPr>
              <w:ind w:left="420" w:hanging="284"/>
            </w:pPr>
            <w:r w:rsidRPr="00306E4E">
              <w:t xml:space="preserve">The </w:t>
            </w:r>
            <w:r w:rsidR="00D82BFB">
              <w:t>Consultant</w:t>
            </w:r>
            <w:r w:rsidRPr="00306E4E">
              <w:t xml:space="preserve"> is legally required to make such a disclosure.</w:t>
            </w:r>
          </w:p>
          <w:p w:rsidR="00020902" w:rsidRPr="00306E4E" w:rsidRDefault="00020902" w:rsidP="00020902">
            <w:pPr>
              <w:ind w:left="720"/>
            </w:pPr>
          </w:p>
          <w:p w:rsidR="00020902" w:rsidRPr="00306E4E" w:rsidRDefault="00020902" w:rsidP="00020902">
            <w:r w:rsidRPr="00306E4E">
              <w:t>In relation to the above the definition of ‘person’ includes but is not limited to any person, firm, body or association, corporate or incorporate.</w:t>
            </w:r>
          </w:p>
          <w:p w:rsidR="00020902" w:rsidRPr="00306E4E" w:rsidRDefault="00020902" w:rsidP="00020902"/>
          <w:p w:rsidR="00020902" w:rsidRPr="00306E4E" w:rsidRDefault="00020902" w:rsidP="00020902">
            <w:r w:rsidRPr="00306E4E">
              <w:t xml:space="preserve">The British Council may disclose detailed information relating to Tenders to its officers, employees, agents or advisers and the British Council may make any of the Tender documents available for private inspection by its officers, employees, agents or advisers.  </w:t>
            </w:r>
          </w:p>
          <w:p w:rsidR="00020902" w:rsidRPr="00306E4E" w:rsidRDefault="00020902" w:rsidP="00020902"/>
          <w:p w:rsidR="00020902" w:rsidRPr="00306E4E" w:rsidRDefault="00020902" w:rsidP="00020902">
            <w:r w:rsidRPr="00306E4E">
              <w:t xml:space="preserve">The British Council also reserves the right to disseminate information that is materially relevant to the procurement to all </w:t>
            </w:r>
            <w:r w:rsidR="00D82BFB">
              <w:t>Consultants</w:t>
            </w:r>
            <w:r w:rsidRPr="00306E4E">
              <w:t xml:space="preserve">, even if the information has only been requested by one </w:t>
            </w:r>
            <w:r w:rsidR="00D82BFB">
              <w:t>Consultant</w:t>
            </w:r>
            <w:r w:rsidRPr="00306E4E">
              <w:t xml:space="preserve">, subject to the duty to protect each </w:t>
            </w:r>
            <w:r w:rsidR="00D82BFB">
              <w:t>Consultant</w:t>
            </w:r>
            <w:r w:rsidRPr="00306E4E">
              <w:t>'s commercial confidentiality in relation to its Tender (unless there is a requirement for disclosure under the Freedom of Information Act).</w:t>
            </w:r>
          </w:p>
          <w:p w:rsidR="00020902" w:rsidRPr="00306E4E" w:rsidRDefault="00020902" w:rsidP="00020902"/>
          <w:p w:rsidR="00020902" w:rsidRPr="00306E4E" w:rsidRDefault="00020902" w:rsidP="00020902">
            <w:r w:rsidRPr="00306E4E">
              <w:t xml:space="preserve">All costs incurred in the preparation of the proposal are the </w:t>
            </w:r>
            <w:r w:rsidR="00D82BFB">
              <w:t>Consultant’s</w:t>
            </w:r>
            <w:r w:rsidRPr="00306E4E">
              <w:t xml:space="preserve"> responsibility.</w:t>
            </w:r>
          </w:p>
          <w:p w:rsidR="00020902" w:rsidRPr="00306E4E" w:rsidRDefault="00020902" w:rsidP="00020902"/>
          <w:p w:rsidR="00020902" w:rsidRPr="00306E4E" w:rsidRDefault="00020902" w:rsidP="00020902">
            <w:r w:rsidRPr="00306E4E">
              <w:t>The British Council reserves the right to request reference information.</w:t>
            </w:r>
          </w:p>
          <w:p w:rsidR="00020902" w:rsidRPr="00306E4E" w:rsidRDefault="00020902" w:rsidP="00020902"/>
          <w:p w:rsidR="00020902" w:rsidRPr="00306E4E" w:rsidRDefault="00020902" w:rsidP="00020902">
            <w:r w:rsidRPr="00306E4E">
              <w:t>This document does not constitute an offer to provide goods and/or services to the British Council and the British Council is not obliged to award a contract.</w:t>
            </w:r>
          </w:p>
          <w:p w:rsidR="00020902" w:rsidRPr="00306E4E" w:rsidRDefault="00020902" w:rsidP="00020902"/>
          <w:p w:rsidR="00020902" w:rsidRPr="00306E4E" w:rsidRDefault="00020902" w:rsidP="00020902">
            <w:pPr>
              <w:rPr>
                <w:b/>
              </w:rPr>
            </w:pPr>
            <w:r w:rsidRPr="00306E4E">
              <w:rPr>
                <w:b/>
              </w:rPr>
              <w:t>Tender/Proposal Validity</w:t>
            </w:r>
          </w:p>
          <w:p w:rsidR="00020902" w:rsidRPr="00306E4E" w:rsidRDefault="00020902" w:rsidP="00020902">
            <w:r w:rsidRPr="00306E4E">
              <w:t>Your response should remain open for acceptance for a period of 30 days from the return date of the ITT.</w:t>
            </w:r>
          </w:p>
          <w:p w:rsidR="006A43D9" w:rsidRPr="00306E4E" w:rsidRDefault="006A43D9" w:rsidP="00020902"/>
          <w:p w:rsidR="00020902" w:rsidRPr="00306E4E" w:rsidRDefault="00020902" w:rsidP="00020902"/>
          <w:p w:rsidR="00020902" w:rsidRPr="00306E4E" w:rsidRDefault="00020902" w:rsidP="00020902">
            <w:pPr>
              <w:rPr>
                <w:b/>
              </w:rPr>
            </w:pPr>
            <w:r w:rsidRPr="00306E4E">
              <w:rPr>
                <w:b/>
              </w:rPr>
              <w:t xml:space="preserve">Payment and Invoicing </w:t>
            </w:r>
          </w:p>
          <w:p w:rsidR="00020902" w:rsidRPr="00306E4E" w:rsidRDefault="00020902" w:rsidP="00020902">
            <w:r w:rsidRPr="00306E4E">
              <w:t>The British Council will pay correctly addressed and undisputed invoices within 30 days.</w:t>
            </w:r>
          </w:p>
          <w:p w:rsidR="00020902" w:rsidRPr="00306E4E" w:rsidRDefault="00020902" w:rsidP="00020902"/>
          <w:p w:rsidR="00020902" w:rsidRPr="00306E4E" w:rsidRDefault="00020902" w:rsidP="00020902">
            <w:r w:rsidRPr="00306E4E">
              <w:t>The British Council will have a requirement for invoices to be produced in an electronic format. These files should be ASCII, CSV or XML format and conform to British Council standard. These files can be sent via SMTP, HTTP, HTTPS or FTP. The British Council will also have a requirement to send purchase orders in XML format.</w:t>
            </w:r>
          </w:p>
          <w:p w:rsidR="00020902" w:rsidRPr="00306E4E" w:rsidRDefault="00020902" w:rsidP="00020902"/>
          <w:p w:rsidR="00020902" w:rsidRPr="00306E4E" w:rsidRDefault="00020902" w:rsidP="00020902">
            <w:r w:rsidRPr="00306E4E">
              <w:t>The essential information on an invoice for the British Council is:</w:t>
            </w:r>
          </w:p>
          <w:p w:rsidR="00020902" w:rsidRPr="00306E4E" w:rsidRDefault="00020902" w:rsidP="00020902"/>
          <w:p w:rsidR="00020902" w:rsidRPr="00306E4E" w:rsidRDefault="00020902" w:rsidP="00020902">
            <w:pPr>
              <w:numPr>
                <w:ilvl w:val="0"/>
                <w:numId w:val="5"/>
              </w:numPr>
            </w:pPr>
            <w:r w:rsidRPr="00306E4E">
              <w:t>A description of the goods/services supplied.</w:t>
            </w:r>
          </w:p>
          <w:p w:rsidR="00020902" w:rsidRPr="00306E4E" w:rsidRDefault="00020902" w:rsidP="00020902">
            <w:pPr>
              <w:numPr>
                <w:ilvl w:val="0"/>
                <w:numId w:val="5"/>
              </w:numPr>
            </w:pPr>
            <w:r w:rsidRPr="00306E4E">
              <w:t>The British Council reference number/Purchase Order number.</w:t>
            </w:r>
          </w:p>
          <w:p w:rsidR="00020902" w:rsidRPr="00306E4E" w:rsidRDefault="00020902" w:rsidP="00020902">
            <w:pPr>
              <w:numPr>
                <w:ilvl w:val="0"/>
                <w:numId w:val="5"/>
              </w:numPr>
            </w:pPr>
            <w:r w:rsidRPr="00306E4E">
              <w:t>Addressed to Accounts Payable.</w:t>
            </w:r>
          </w:p>
          <w:p w:rsidR="00020902" w:rsidRPr="00306E4E" w:rsidRDefault="00020902" w:rsidP="00020902">
            <w:pPr>
              <w:numPr>
                <w:ilvl w:val="0"/>
                <w:numId w:val="5"/>
              </w:numPr>
            </w:pPr>
            <w:r w:rsidRPr="00306E4E">
              <w:t>The costs including VAT (if applicable) and any other charges</w:t>
            </w:r>
          </w:p>
          <w:p w:rsidR="00020902" w:rsidRPr="00306E4E" w:rsidRDefault="00020902" w:rsidP="00020902"/>
          <w:p w:rsidR="00020902" w:rsidRPr="00306E4E" w:rsidRDefault="00020902" w:rsidP="00020902">
            <w:r w:rsidRPr="00306E4E">
              <w:t xml:space="preserve">The appointed </w:t>
            </w:r>
            <w:r w:rsidR="00D82BFB">
              <w:t>Consultant</w:t>
            </w:r>
            <w:r w:rsidRPr="00306E4E">
              <w:t xml:space="preserve"> may be expected to travel to British Council offices as required, in the delivery of the services. </w:t>
            </w:r>
          </w:p>
          <w:p w:rsidR="00020902" w:rsidRPr="00306E4E" w:rsidRDefault="00020902" w:rsidP="00020902"/>
          <w:p w:rsidR="00020902" w:rsidRPr="00306E4E" w:rsidRDefault="00020902" w:rsidP="00020902">
            <w:r w:rsidRPr="00306E4E">
              <w:t>NOTE: All costs related to travel; accommodation and meals will be agreed in advance with the British Council manager.</w:t>
            </w:r>
          </w:p>
          <w:p w:rsidR="00020902" w:rsidRPr="00306E4E" w:rsidRDefault="00020902" w:rsidP="00020902"/>
          <w:p w:rsidR="00020902" w:rsidRPr="00306E4E" w:rsidRDefault="00020902" w:rsidP="00020902">
            <w:r w:rsidRPr="00306E4E">
              <w:t xml:space="preserve"> </w:t>
            </w:r>
          </w:p>
        </w:tc>
      </w:tr>
    </w:tbl>
    <w:p w:rsidR="00163D53" w:rsidRPr="008E1649" w:rsidRDefault="00163D53" w:rsidP="00020902">
      <w:pPr>
        <w:autoSpaceDE w:val="0"/>
        <w:autoSpaceDN w:val="0"/>
        <w:adjustRightInd w:val="0"/>
        <w:rPr>
          <w:color w:val="0000FF"/>
          <w:sz w:val="22"/>
          <w:szCs w:val="22"/>
        </w:rPr>
      </w:pPr>
    </w:p>
    <w:sectPr w:rsidR="00163D53" w:rsidRPr="008E1649" w:rsidSect="00F83848">
      <w:headerReference w:type="default" r:id="rId14"/>
      <w:footerReference w:type="default" r:id="rId15"/>
      <w:pgSz w:w="11909" w:h="16834" w:code="9"/>
      <w:pgMar w:top="720" w:right="720" w:bottom="720" w:left="1701" w:header="720" w:footer="720" w:gutter="0"/>
      <w:paperSrc w:first="262" w:other="262"/>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52E" w:rsidRDefault="00CC252E" w:rsidP="00020902">
      <w:r>
        <w:separator/>
      </w:r>
    </w:p>
  </w:endnote>
  <w:endnote w:type="continuationSeparator" w:id="0">
    <w:p w:rsidR="00CC252E" w:rsidRDefault="00CC252E" w:rsidP="00020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4889986"/>
      <w:docPartObj>
        <w:docPartGallery w:val="Page Numbers (Bottom of Page)"/>
        <w:docPartUnique/>
      </w:docPartObj>
    </w:sdtPr>
    <w:sdtEndPr>
      <w:rPr>
        <w:noProof/>
      </w:rPr>
    </w:sdtEndPr>
    <w:sdtContent>
      <w:p w:rsidR="00126BCE" w:rsidRDefault="00126BCE">
        <w:pPr>
          <w:pStyle w:val="Footer"/>
          <w:jc w:val="right"/>
        </w:pPr>
        <w:r>
          <w:fldChar w:fldCharType="begin"/>
        </w:r>
        <w:r>
          <w:instrText xml:space="preserve"> PAGE   \* MERGEFORMAT </w:instrText>
        </w:r>
        <w:r>
          <w:fldChar w:fldCharType="separate"/>
        </w:r>
        <w:r w:rsidR="00067C9A">
          <w:rPr>
            <w:noProof/>
          </w:rPr>
          <w:t>1</w:t>
        </w:r>
        <w:r>
          <w:rPr>
            <w:noProof/>
          </w:rPr>
          <w:fldChar w:fldCharType="end"/>
        </w:r>
      </w:p>
    </w:sdtContent>
  </w:sdt>
  <w:p w:rsidR="00126BCE" w:rsidRDefault="00126B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52E" w:rsidRDefault="00CC252E" w:rsidP="00020902">
      <w:r>
        <w:separator/>
      </w:r>
    </w:p>
  </w:footnote>
  <w:footnote w:type="continuationSeparator" w:id="0">
    <w:p w:rsidR="00CC252E" w:rsidRDefault="00CC252E" w:rsidP="000209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649" w:rsidRPr="00272A64" w:rsidRDefault="008E1649" w:rsidP="008E1649">
    <w:pPr>
      <w:pStyle w:val="Header"/>
      <w:jc w:val="right"/>
      <w:rPr>
        <w:b/>
        <w:sz w:val="22"/>
        <w:szCs w:val="22"/>
      </w:rPr>
    </w:pPr>
    <w:r>
      <w:rPr>
        <w:noProof/>
        <w:sz w:val="22"/>
        <w:szCs w:val="22"/>
        <w:lang w:eastAsia="en-GB"/>
      </w:rPr>
      <w:drawing>
        <wp:anchor distT="0" distB="0" distL="114300" distR="114300" simplePos="0" relativeHeight="251659264" behindDoc="1" locked="0" layoutInCell="1" allowOverlap="1">
          <wp:simplePos x="0" y="0"/>
          <wp:positionH relativeFrom="column">
            <wp:posOffset>-740410</wp:posOffset>
          </wp:positionH>
          <wp:positionV relativeFrom="paragraph">
            <wp:posOffset>-276860</wp:posOffset>
          </wp:positionV>
          <wp:extent cx="1800225" cy="749300"/>
          <wp:effectExtent l="0" t="0" r="9525" b="0"/>
          <wp:wrapTight wrapText="bothSides">
            <wp:wrapPolygon edited="0">
              <wp:start x="0" y="0"/>
              <wp:lineTo x="0" y="20868"/>
              <wp:lineTo x="21486" y="20868"/>
              <wp:lineTo x="21486" y="0"/>
              <wp:lineTo x="0" y="0"/>
            </wp:wrapPolygon>
          </wp:wrapTight>
          <wp:docPr id="2" name="Picture 2" descr="http://brand.britishcouncil.org/wp-content/uploads/2012/03/cor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rand.britishcouncil.org/wp-content/uploads/2012/03/corp.gif"/>
                  <pic:cNvPicPr>
                    <a:picLocks noChangeAspect="1" noChangeArrowheads="1"/>
                  </pic:cNvPicPr>
                </pic:nvPicPr>
                <pic:blipFill>
                  <a:blip r:embed="rId1">
                    <a:extLst>
                      <a:ext uri="{28A0092B-C50C-407E-A947-70E740481C1C}">
                        <a14:useLocalDpi xmlns:a14="http://schemas.microsoft.com/office/drawing/2010/main" val="0"/>
                      </a:ext>
                    </a:extLst>
                  </a:blip>
                  <a:srcRect l="5373" t="20914" r="3307" b="20786"/>
                  <a:stretch>
                    <a:fillRect/>
                  </a:stretch>
                </pic:blipFill>
                <pic:spPr bwMode="auto">
                  <a:xfrm>
                    <a:off x="0" y="0"/>
                    <a:ext cx="1800225" cy="749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1649" w:rsidRDefault="008E16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07CFB"/>
    <w:multiLevelType w:val="hybridMultilevel"/>
    <w:tmpl w:val="44840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FA51C7"/>
    <w:multiLevelType w:val="hybridMultilevel"/>
    <w:tmpl w:val="168A3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384D63"/>
    <w:multiLevelType w:val="hybridMultilevel"/>
    <w:tmpl w:val="02CA3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F60B6C"/>
    <w:multiLevelType w:val="hybridMultilevel"/>
    <w:tmpl w:val="A1EA31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outline w:val="0"/>
        <w:shadow w:val="0"/>
        <w:emboss w:val="0"/>
        <w:imprint w:val="0"/>
        <w:vanish w:val="0"/>
        <w:sz w:val="22"/>
        <w:szCs w:val="22"/>
        <w:vertAlign w:val="base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outline w:val="0"/>
        <w:shadow w:val="0"/>
        <w:emboss w:val="0"/>
        <w:imprint w:val="0"/>
        <w:vanish w:val="0"/>
        <w:sz w:val="22"/>
        <w:szCs w:val="22"/>
        <w:u w:val="none"/>
        <w:vertAlign w:val="base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5">
    <w:nsid w:val="1A2823D6"/>
    <w:multiLevelType w:val="hybridMultilevel"/>
    <w:tmpl w:val="AA1682E2"/>
    <w:lvl w:ilvl="0" w:tplc="0BDC69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EA604E3"/>
    <w:multiLevelType w:val="multilevel"/>
    <w:tmpl w:val="8CB816E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7">
    <w:nsid w:val="1EE86BCD"/>
    <w:multiLevelType w:val="hybridMultilevel"/>
    <w:tmpl w:val="B058C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0DC4837"/>
    <w:multiLevelType w:val="hybridMultilevel"/>
    <w:tmpl w:val="781C56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5A5559C"/>
    <w:multiLevelType w:val="hybridMultilevel"/>
    <w:tmpl w:val="B8869838"/>
    <w:lvl w:ilvl="0" w:tplc="45DEBB0E">
      <w:start w:val="1"/>
      <w:numFmt w:val="decimal"/>
      <w:lvlText w:val="%1."/>
      <w:lvlJc w:val="left"/>
      <w:pPr>
        <w:ind w:left="639" w:hanging="360"/>
      </w:pPr>
      <w:rPr>
        <w:rFonts w:hint="default"/>
      </w:rPr>
    </w:lvl>
    <w:lvl w:ilvl="1" w:tplc="04090019" w:tentative="1">
      <w:start w:val="1"/>
      <w:numFmt w:val="lowerLetter"/>
      <w:lvlText w:val="%2."/>
      <w:lvlJc w:val="left"/>
      <w:pPr>
        <w:ind w:left="1359" w:hanging="360"/>
      </w:pPr>
    </w:lvl>
    <w:lvl w:ilvl="2" w:tplc="0409001B" w:tentative="1">
      <w:start w:val="1"/>
      <w:numFmt w:val="lowerRoman"/>
      <w:lvlText w:val="%3."/>
      <w:lvlJc w:val="right"/>
      <w:pPr>
        <w:ind w:left="2079" w:hanging="180"/>
      </w:pPr>
    </w:lvl>
    <w:lvl w:ilvl="3" w:tplc="0409000F" w:tentative="1">
      <w:start w:val="1"/>
      <w:numFmt w:val="decimal"/>
      <w:lvlText w:val="%4."/>
      <w:lvlJc w:val="left"/>
      <w:pPr>
        <w:ind w:left="2799" w:hanging="360"/>
      </w:pPr>
    </w:lvl>
    <w:lvl w:ilvl="4" w:tplc="04090019" w:tentative="1">
      <w:start w:val="1"/>
      <w:numFmt w:val="lowerLetter"/>
      <w:lvlText w:val="%5."/>
      <w:lvlJc w:val="left"/>
      <w:pPr>
        <w:ind w:left="3519" w:hanging="360"/>
      </w:pPr>
    </w:lvl>
    <w:lvl w:ilvl="5" w:tplc="0409001B" w:tentative="1">
      <w:start w:val="1"/>
      <w:numFmt w:val="lowerRoman"/>
      <w:lvlText w:val="%6."/>
      <w:lvlJc w:val="right"/>
      <w:pPr>
        <w:ind w:left="4239" w:hanging="180"/>
      </w:pPr>
    </w:lvl>
    <w:lvl w:ilvl="6" w:tplc="0409000F" w:tentative="1">
      <w:start w:val="1"/>
      <w:numFmt w:val="decimal"/>
      <w:lvlText w:val="%7."/>
      <w:lvlJc w:val="left"/>
      <w:pPr>
        <w:ind w:left="4959" w:hanging="360"/>
      </w:pPr>
    </w:lvl>
    <w:lvl w:ilvl="7" w:tplc="04090019" w:tentative="1">
      <w:start w:val="1"/>
      <w:numFmt w:val="lowerLetter"/>
      <w:lvlText w:val="%8."/>
      <w:lvlJc w:val="left"/>
      <w:pPr>
        <w:ind w:left="5679" w:hanging="360"/>
      </w:pPr>
    </w:lvl>
    <w:lvl w:ilvl="8" w:tplc="0409001B" w:tentative="1">
      <w:start w:val="1"/>
      <w:numFmt w:val="lowerRoman"/>
      <w:lvlText w:val="%9."/>
      <w:lvlJc w:val="right"/>
      <w:pPr>
        <w:ind w:left="6399" w:hanging="180"/>
      </w:pPr>
    </w:lvl>
  </w:abstractNum>
  <w:abstractNum w:abstractNumId="10">
    <w:nsid w:val="282B3B53"/>
    <w:multiLevelType w:val="hybridMultilevel"/>
    <w:tmpl w:val="4DD2C0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8AD3675"/>
    <w:multiLevelType w:val="hybridMultilevel"/>
    <w:tmpl w:val="AA1682E2"/>
    <w:lvl w:ilvl="0" w:tplc="0BDC69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57A425B"/>
    <w:multiLevelType w:val="hybridMultilevel"/>
    <w:tmpl w:val="A874E2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4525152"/>
    <w:multiLevelType w:val="hybridMultilevel"/>
    <w:tmpl w:val="3AF41A44"/>
    <w:lvl w:ilvl="0" w:tplc="9B3CFCBC">
      <w:start w:val="1"/>
      <w:numFmt w:val="decimal"/>
      <w:lvlText w:val="%1."/>
      <w:lvlJc w:val="left"/>
      <w:pPr>
        <w:tabs>
          <w:tab w:val="num" w:pos="1080"/>
        </w:tabs>
        <w:ind w:left="1080" w:hanging="720"/>
      </w:pPr>
      <w:rPr>
        <w:rFonts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nsid w:val="4EEA2BE5"/>
    <w:multiLevelType w:val="multilevel"/>
    <w:tmpl w:val="123E575A"/>
    <w:lvl w:ilvl="0">
      <w:start w:val="1"/>
      <w:numFmt w:val="decimal"/>
      <w:pStyle w:val="MRSchedule1"/>
      <w:isLgl/>
      <w:suff w:val="nothing"/>
      <w:lvlText w:val="Schedule %1"/>
      <w:lvlJc w:val="left"/>
      <w:pPr>
        <w:ind w:left="5643" w:firstLine="0"/>
      </w:pPr>
      <w:rPr>
        <w:rFonts w:ascii="Arial" w:hAnsi="Arial" w:cs="Arial" w:hint="default"/>
        <w:b/>
        <w:i w:val="0"/>
        <w:caps w:val="0"/>
        <w:strike w:val="0"/>
        <w:dstrike w:val="0"/>
        <w:outline w:val="0"/>
        <w:shadow w:val="0"/>
        <w:emboss w:val="0"/>
        <w:imprint w:val="0"/>
        <w:vanish w:val="0"/>
        <w:sz w:val="22"/>
        <w:szCs w:val="22"/>
        <w:u w:val="single"/>
        <w:vertAlign w:val="base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5">
    <w:nsid w:val="58463F5C"/>
    <w:multiLevelType w:val="hybridMultilevel"/>
    <w:tmpl w:val="1568A406"/>
    <w:lvl w:ilvl="0" w:tplc="F88834A6">
      <w:start w:val="1"/>
      <w:numFmt w:val="lowerLetter"/>
      <w:lvlText w:val="(%1)"/>
      <w:lvlJc w:val="left"/>
      <w:pPr>
        <w:ind w:left="720" w:hanging="360"/>
      </w:pPr>
      <w:rPr>
        <w:rFonts w:eastAsia="Calibr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99B512D"/>
    <w:multiLevelType w:val="hybridMultilevel"/>
    <w:tmpl w:val="E522E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A10252"/>
    <w:multiLevelType w:val="hybridMultilevel"/>
    <w:tmpl w:val="5B1A4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C792C9D"/>
    <w:multiLevelType w:val="hybridMultilevel"/>
    <w:tmpl w:val="86EA2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DA32947"/>
    <w:multiLevelType w:val="hybridMultilevel"/>
    <w:tmpl w:val="EA3CC3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17"/>
  </w:num>
  <w:num w:numId="3">
    <w:abstractNumId w:val="18"/>
  </w:num>
  <w:num w:numId="4">
    <w:abstractNumId w:val="1"/>
  </w:num>
  <w:num w:numId="5">
    <w:abstractNumId w:val="3"/>
  </w:num>
  <w:num w:numId="6">
    <w:abstractNumId w:val="12"/>
  </w:num>
  <w:num w:numId="7">
    <w:abstractNumId w:val="8"/>
  </w:num>
  <w:num w:numId="8">
    <w:abstractNumId w:val="10"/>
  </w:num>
  <w:num w:numId="9">
    <w:abstractNumId w:val="19"/>
  </w:num>
  <w:num w:numId="10">
    <w:abstractNumId w:val="16"/>
  </w:num>
  <w:num w:numId="11">
    <w:abstractNumId w:val="9"/>
  </w:num>
  <w:num w:numId="12">
    <w:abstractNumId w:val="0"/>
  </w:num>
  <w:num w:numId="13">
    <w:abstractNumId w:val="2"/>
  </w:num>
  <w:num w:numId="14">
    <w:abstractNumId w:val="11"/>
  </w:num>
  <w:num w:numId="15">
    <w:abstractNumId w:val="15"/>
  </w:num>
  <w:num w:numId="16">
    <w:abstractNumId w:val="7"/>
  </w:num>
  <w:num w:numId="17">
    <w:abstractNumId w:val="6"/>
  </w:num>
  <w:num w:numId="18">
    <w:abstractNumId w:val="4"/>
  </w:num>
  <w:num w:numId="19">
    <w:abstractNumId w:val="1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TrackFormatting/>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902"/>
    <w:rsid w:val="00001742"/>
    <w:rsid w:val="00006826"/>
    <w:rsid w:val="00006E34"/>
    <w:rsid w:val="00013914"/>
    <w:rsid w:val="00020902"/>
    <w:rsid w:val="000343D4"/>
    <w:rsid w:val="00036C33"/>
    <w:rsid w:val="00042A56"/>
    <w:rsid w:val="0004340A"/>
    <w:rsid w:val="00067C9A"/>
    <w:rsid w:val="00073F85"/>
    <w:rsid w:val="00074CE3"/>
    <w:rsid w:val="00084602"/>
    <w:rsid w:val="0008744B"/>
    <w:rsid w:val="00097194"/>
    <w:rsid w:val="000A2723"/>
    <w:rsid w:val="000A3613"/>
    <w:rsid w:val="000A74B7"/>
    <w:rsid w:val="000B144C"/>
    <w:rsid w:val="000B6FFA"/>
    <w:rsid w:val="000B7915"/>
    <w:rsid w:val="000C30F2"/>
    <w:rsid w:val="000D0A5E"/>
    <w:rsid w:val="000D313D"/>
    <w:rsid w:val="000F0C7D"/>
    <w:rsid w:val="000F248F"/>
    <w:rsid w:val="00101685"/>
    <w:rsid w:val="00105249"/>
    <w:rsid w:val="00110FC4"/>
    <w:rsid w:val="001135D9"/>
    <w:rsid w:val="001140BB"/>
    <w:rsid w:val="001165A4"/>
    <w:rsid w:val="00126BCE"/>
    <w:rsid w:val="001271AE"/>
    <w:rsid w:val="001370C5"/>
    <w:rsid w:val="00137C77"/>
    <w:rsid w:val="0014077B"/>
    <w:rsid w:val="00151457"/>
    <w:rsid w:val="00155CB5"/>
    <w:rsid w:val="00156280"/>
    <w:rsid w:val="00157ED5"/>
    <w:rsid w:val="00162FCC"/>
    <w:rsid w:val="00163D53"/>
    <w:rsid w:val="0016785A"/>
    <w:rsid w:val="00174AB7"/>
    <w:rsid w:val="00175F3C"/>
    <w:rsid w:val="00182913"/>
    <w:rsid w:val="00184E01"/>
    <w:rsid w:val="0018608A"/>
    <w:rsid w:val="00187ACE"/>
    <w:rsid w:val="00196D8D"/>
    <w:rsid w:val="001977ED"/>
    <w:rsid w:val="001A02D6"/>
    <w:rsid w:val="001A0EF5"/>
    <w:rsid w:val="001A697E"/>
    <w:rsid w:val="001B0854"/>
    <w:rsid w:val="001B5E7F"/>
    <w:rsid w:val="001C4F34"/>
    <w:rsid w:val="001E113E"/>
    <w:rsid w:val="001F112F"/>
    <w:rsid w:val="00211DCC"/>
    <w:rsid w:val="002166A0"/>
    <w:rsid w:val="00217ED2"/>
    <w:rsid w:val="00222046"/>
    <w:rsid w:val="00225BE0"/>
    <w:rsid w:val="002264DD"/>
    <w:rsid w:val="002335C2"/>
    <w:rsid w:val="00234538"/>
    <w:rsid w:val="00236026"/>
    <w:rsid w:val="00247C11"/>
    <w:rsid w:val="00251DAE"/>
    <w:rsid w:val="002530A8"/>
    <w:rsid w:val="00261982"/>
    <w:rsid w:val="00263B16"/>
    <w:rsid w:val="002664DA"/>
    <w:rsid w:val="002702BE"/>
    <w:rsid w:val="0027173E"/>
    <w:rsid w:val="00272BF8"/>
    <w:rsid w:val="00274DF0"/>
    <w:rsid w:val="00277C85"/>
    <w:rsid w:val="00281094"/>
    <w:rsid w:val="00282E8B"/>
    <w:rsid w:val="002929DD"/>
    <w:rsid w:val="00295345"/>
    <w:rsid w:val="002A47F5"/>
    <w:rsid w:val="002A5633"/>
    <w:rsid w:val="002B1C13"/>
    <w:rsid w:val="002B5326"/>
    <w:rsid w:val="002C7B6D"/>
    <w:rsid w:val="002D4B7F"/>
    <w:rsid w:val="002E04A2"/>
    <w:rsid w:val="002F1CF8"/>
    <w:rsid w:val="002F5F58"/>
    <w:rsid w:val="00300739"/>
    <w:rsid w:val="0030083D"/>
    <w:rsid w:val="0030466A"/>
    <w:rsid w:val="00304B7D"/>
    <w:rsid w:val="00306E4E"/>
    <w:rsid w:val="003117D7"/>
    <w:rsid w:val="003226C3"/>
    <w:rsid w:val="00325E4D"/>
    <w:rsid w:val="00327DC4"/>
    <w:rsid w:val="00343567"/>
    <w:rsid w:val="003510EE"/>
    <w:rsid w:val="003531DA"/>
    <w:rsid w:val="00357B7A"/>
    <w:rsid w:val="003857C7"/>
    <w:rsid w:val="003925BD"/>
    <w:rsid w:val="00393F67"/>
    <w:rsid w:val="003A0FDA"/>
    <w:rsid w:val="003A6CB8"/>
    <w:rsid w:val="003B54FD"/>
    <w:rsid w:val="003D2852"/>
    <w:rsid w:val="003E1895"/>
    <w:rsid w:val="003E5806"/>
    <w:rsid w:val="003F5304"/>
    <w:rsid w:val="003F6CE1"/>
    <w:rsid w:val="00414242"/>
    <w:rsid w:val="004258FC"/>
    <w:rsid w:val="0044344A"/>
    <w:rsid w:val="00450C53"/>
    <w:rsid w:val="00452BF3"/>
    <w:rsid w:val="00457B83"/>
    <w:rsid w:val="00461C0E"/>
    <w:rsid w:val="00465426"/>
    <w:rsid w:val="004679A8"/>
    <w:rsid w:val="00474208"/>
    <w:rsid w:val="00480557"/>
    <w:rsid w:val="00480BC0"/>
    <w:rsid w:val="00487D89"/>
    <w:rsid w:val="00491E19"/>
    <w:rsid w:val="004936CF"/>
    <w:rsid w:val="0049494D"/>
    <w:rsid w:val="0049569D"/>
    <w:rsid w:val="004A51BF"/>
    <w:rsid w:val="004B1297"/>
    <w:rsid w:val="004B7BF4"/>
    <w:rsid w:val="004D0D80"/>
    <w:rsid w:val="004E0C6C"/>
    <w:rsid w:val="004E0EE2"/>
    <w:rsid w:val="004E2EFD"/>
    <w:rsid w:val="004E30E6"/>
    <w:rsid w:val="004F0A23"/>
    <w:rsid w:val="004F0AD0"/>
    <w:rsid w:val="004F689D"/>
    <w:rsid w:val="00501114"/>
    <w:rsid w:val="00506F84"/>
    <w:rsid w:val="0051489E"/>
    <w:rsid w:val="00515E94"/>
    <w:rsid w:val="00517424"/>
    <w:rsid w:val="00523730"/>
    <w:rsid w:val="0052573B"/>
    <w:rsid w:val="00527890"/>
    <w:rsid w:val="00532473"/>
    <w:rsid w:val="00533B93"/>
    <w:rsid w:val="00536905"/>
    <w:rsid w:val="0054140A"/>
    <w:rsid w:val="00542A93"/>
    <w:rsid w:val="00542B79"/>
    <w:rsid w:val="00547C57"/>
    <w:rsid w:val="005508D6"/>
    <w:rsid w:val="00551C98"/>
    <w:rsid w:val="0057119C"/>
    <w:rsid w:val="0057520E"/>
    <w:rsid w:val="0057541B"/>
    <w:rsid w:val="00581368"/>
    <w:rsid w:val="005864A2"/>
    <w:rsid w:val="00592786"/>
    <w:rsid w:val="005A4882"/>
    <w:rsid w:val="005B1F35"/>
    <w:rsid w:val="005B5C75"/>
    <w:rsid w:val="005B76B9"/>
    <w:rsid w:val="005C2542"/>
    <w:rsid w:val="005C4B0E"/>
    <w:rsid w:val="005C794E"/>
    <w:rsid w:val="005D5F1D"/>
    <w:rsid w:val="005E4D6A"/>
    <w:rsid w:val="005E63AC"/>
    <w:rsid w:val="005E7569"/>
    <w:rsid w:val="005F44C4"/>
    <w:rsid w:val="00601515"/>
    <w:rsid w:val="006103E0"/>
    <w:rsid w:val="00610991"/>
    <w:rsid w:val="00610DFF"/>
    <w:rsid w:val="006110DB"/>
    <w:rsid w:val="00620C35"/>
    <w:rsid w:val="0062404E"/>
    <w:rsid w:val="00624CBF"/>
    <w:rsid w:val="00625103"/>
    <w:rsid w:val="00633B44"/>
    <w:rsid w:val="00643270"/>
    <w:rsid w:val="00644C0C"/>
    <w:rsid w:val="006523DD"/>
    <w:rsid w:val="00653AC2"/>
    <w:rsid w:val="00660206"/>
    <w:rsid w:val="00661D82"/>
    <w:rsid w:val="006626DD"/>
    <w:rsid w:val="006657D6"/>
    <w:rsid w:val="006663CD"/>
    <w:rsid w:val="00672A74"/>
    <w:rsid w:val="0067311A"/>
    <w:rsid w:val="0067391E"/>
    <w:rsid w:val="00675990"/>
    <w:rsid w:val="00681D83"/>
    <w:rsid w:val="00687F85"/>
    <w:rsid w:val="00692236"/>
    <w:rsid w:val="006A43D9"/>
    <w:rsid w:val="006B2812"/>
    <w:rsid w:val="006D328D"/>
    <w:rsid w:val="006D700D"/>
    <w:rsid w:val="006F14C8"/>
    <w:rsid w:val="006F2A48"/>
    <w:rsid w:val="006F58C9"/>
    <w:rsid w:val="00717E17"/>
    <w:rsid w:val="007251FD"/>
    <w:rsid w:val="00725682"/>
    <w:rsid w:val="00732C9F"/>
    <w:rsid w:val="00734139"/>
    <w:rsid w:val="00737591"/>
    <w:rsid w:val="00740AB0"/>
    <w:rsid w:val="00741EF6"/>
    <w:rsid w:val="00743AE4"/>
    <w:rsid w:val="007444A4"/>
    <w:rsid w:val="00752DE7"/>
    <w:rsid w:val="00753D2B"/>
    <w:rsid w:val="0075422F"/>
    <w:rsid w:val="00764BBF"/>
    <w:rsid w:val="00766CF0"/>
    <w:rsid w:val="00771A1F"/>
    <w:rsid w:val="00782678"/>
    <w:rsid w:val="00783539"/>
    <w:rsid w:val="00791AE4"/>
    <w:rsid w:val="007A1325"/>
    <w:rsid w:val="007A5061"/>
    <w:rsid w:val="007A7E83"/>
    <w:rsid w:val="007B0A8D"/>
    <w:rsid w:val="007B0F73"/>
    <w:rsid w:val="007C275A"/>
    <w:rsid w:val="007C3373"/>
    <w:rsid w:val="007C3E77"/>
    <w:rsid w:val="007D0726"/>
    <w:rsid w:val="007E2C91"/>
    <w:rsid w:val="007E3A53"/>
    <w:rsid w:val="007E42A6"/>
    <w:rsid w:val="007F331F"/>
    <w:rsid w:val="007F6AC1"/>
    <w:rsid w:val="008133DE"/>
    <w:rsid w:val="00821316"/>
    <w:rsid w:val="00822CE0"/>
    <w:rsid w:val="00825618"/>
    <w:rsid w:val="00825914"/>
    <w:rsid w:val="00846007"/>
    <w:rsid w:val="008463EE"/>
    <w:rsid w:val="008572EE"/>
    <w:rsid w:val="008609C1"/>
    <w:rsid w:val="00870A80"/>
    <w:rsid w:val="008821E9"/>
    <w:rsid w:val="0089795E"/>
    <w:rsid w:val="008A18BD"/>
    <w:rsid w:val="008A7B66"/>
    <w:rsid w:val="008B1332"/>
    <w:rsid w:val="008B20D1"/>
    <w:rsid w:val="008B5CF6"/>
    <w:rsid w:val="008C2274"/>
    <w:rsid w:val="008C796B"/>
    <w:rsid w:val="008D0357"/>
    <w:rsid w:val="008D33D8"/>
    <w:rsid w:val="008D4AEE"/>
    <w:rsid w:val="008E00A3"/>
    <w:rsid w:val="008E1649"/>
    <w:rsid w:val="008F2672"/>
    <w:rsid w:val="008F4EA3"/>
    <w:rsid w:val="009122F4"/>
    <w:rsid w:val="00912626"/>
    <w:rsid w:val="00912D9B"/>
    <w:rsid w:val="00913B14"/>
    <w:rsid w:val="009149EC"/>
    <w:rsid w:val="009326D5"/>
    <w:rsid w:val="009440EC"/>
    <w:rsid w:val="00944D40"/>
    <w:rsid w:val="00952D6A"/>
    <w:rsid w:val="00961AA2"/>
    <w:rsid w:val="00963BEF"/>
    <w:rsid w:val="00964116"/>
    <w:rsid w:val="0096427E"/>
    <w:rsid w:val="00972B69"/>
    <w:rsid w:val="00982B1A"/>
    <w:rsid w:val="009873F4"/>
    <w:rsid w:val="00987E59"/>
    <w:rsid w:val="00997FB8"/>
    <w:rsid w:val="009A2998"/>
    <w:rsid w:val="009B0E6B"/>
    <w:rsid w:val="009B1AF7"/>
    <w:rsid w:val="009C17FD"/>
    <w:rsid w:val="009E28E4"/>
    <w:rsid w:val="009F53BE"/>
    <w:rsid w:val="009F7327"/>
    <w:rsid w:val="009F7B97"/>
    <w:rsid w:val="00A010A2"/>
    <w:rsid w:val="00A110AA"/>
    <w:rsid w:val="00A12B55"/>
    <w:rsid w:val="00A16EC4"/>
    <w:rsid w:val="00A17288"/>
    <w:rsid w:val="00A27BDD"/>
    <w:rsid w:val="00A27D10"/>
    <w:rsid w:val="00A323E9"/>
    <w:rsid w:val="00A3242C"/>
    <w:rsid w:val="00A435CA"/>
    <w:rsid w:val="00A43EC2"/>
    <w:rsid w:val="00A44C45"/>
    <w:rsid w:val="00A4669C"/>
    <w:rsid w:val="00A46BC1"/>
    <w:rsid w:val="00A57EEC"/>
    <w:rsid w:val="00A731E3"/>
    <w:rsid w:val="00A75304"/>
    <w:rsid w:val="00A84B25"/>
    <w:rsid w:val="00A9025E"/>
    <w:rsid w:val="00A9058D"/>
    <w:rsid w:val="00A90689"/>
    <w:rsid w:val="00A9231F"/>
    <w:rsid w:val="00AB6AF0"/>
    <w:rsid w:val="00AE5F99"/>
    <w:rsid w:val="00AF1128"/>
    <w:rsid w:val="00AF1654"/>
    <w:rsid w:val="00B137AC"/>
    <w:rsid w:val="00B22FE8"/>
    <w:rsid w:val="00B3248D"/>
    <w:rsid w:val="00B3319D"/>
    <w:rsid w:val="00B364CA"/>
    <w:rsid w:val="00B4030A"/>
    <w:rsid w:val="00B4069E"/>
    <w:rsid w:val="00B43266"/>
    <w:rsid w:val="00B50B10"/>
    <w:rsid w:val="00B51D3D"/>
    <w:rsid w:val="00B52F30"/>
    <w:rsid w:val="00B614B6"/>
    <w:rsid w:val="00B63269"/>
    <w:rsid w:val="00B768B6"/>
    <w:rsid w:val="00B830CE"/>
    <w:rsid w:val="00BA0D1F"/>
    <w:rsid w:val="00BA7BC8"/>
    <w:rsid w:val="00BB2100"/>
    <w:rsid w:val="00BC4FE5"/>
    <w:rsid w:val="00BD49E5"/>
    <w:rsid w:val="00BE0A77"/>
    <w:rsid w:val="00BE2911"/>
    <w:rsid w:val="00BE3DCB"/>
    <w:rsid w:val="00BF701C"/>
    <w:rsid w:val="00C0114D"/>
    <w:rsid w:val="00C10615"/>
    <w:rsid w:val="00C15EE4"/>
    <w:rsid w:val="00C22DDB"/>
    <w:rsid w:val="00C237A4"/>
    <w:rsid w:val="00C2607E"/>
    <w:rsid w:val="00C4038A"/>
    <w:rsid w:val="00C4242B"/>
    <w:rsid w:val="00C506C9"/>
    <w:rsid w:val="00C51861"/>
    <w:rsid w:val="00C61162"/>
    <w:rsid w:val="00C61CB7"/>
    <w:rsid w:val="00C61E76"/>
    <w:rsid w:val="00C62EF5"/>
    <w:rsid w:val="00C62FA0"/>
    <w:rsid w:val="00C657A8"/>
    <w:rsid w:val="00C66181"/>
    <w:rsid w:val="00C711F3"/>
    <w:rsid w:val="00C72092"/>
    <w:rsid w:val="00C75F49"/>
    <w:rsid w:val="00C81388"/>
    <w:rsid w:val="00C8554B"/>
    <w:rsid w:val="00C86E1A"/>
    <w:rsid w:val="00C87DD6"/>
    <w:rsid w:val="00C87F97"/>
    <w:rsid w:val="00C97E6C"/>
    <w:rsid w:val="00CA47D4"/>
    <w:rsid w:val="00CB034F"/>
    <w:rsid w:val="00CC252E"/>
    <w:rsid w:val="00CC4564"/>
    <w:rsid w:val="00CC6CAA"/>
    <w:rsid w:val="00CD1A46"/>
    <w:rsid w:val="00CD2576"/>
    <w:rsid w:val="00CE0949"/>
    <w:rsid w:val="00CE36E3"/>
    <w:rsid w:val="00CE37DF"/>
    <w:rsid w:val="00CF0918"/>
    <w:rsid w:val="00CF618B"/>
    <w:rsid w:val="00D009A7"/>
    <w:rsid w:val="00D16FC7"/>
    <w:rsid w:val="00D233B8"/>
    <w:rsid w:val="00D26926"/>
    <w:rsid w:val="00D32950"/>
    <w:rsid w:val="00D33BE3"/>
    <w:rsid w:val="00D340D8"/>
    <w:rsid w:val="00D369D9"/>
    <w:rsid w:val="00D36EE9"/>
    <w:rsid w:val="00D37026"/>
    <w:rsid w:val="00D41275"/>
    <w:rsid w:val="00D45E1A"/>
    <w:rsid w:val="00D62B73"/>
    <w:rsid w:val="00D638FF"/>
    <w:rsid w:val="00D646E4"/>
    <w:rsid w:val="00D71A52"/>
    <w:rsid w:val="00D7209B"/>
    <w:rsid w:val="00D76239"/>
    <w:rsid w:val="00D82BFB"/>
    <w:rsid w:val="00D8391C"/>
    <w:rsid w:val="00D8437E"/>
    <w:rsid w:val="00D8598C"/>
    <w:rsid w:val="00D96A55"/>
    <w:rsid w:val="00DB0C2A"/>
    <w:rsid w:val="00DB5AB2"/>
    <w:rsid w:val="00DC1504"/>
    <w:rsid w:val="00DC6303"/>
    <w:rsid w:val="00DD0C40"/>
    <w:rsid w:val="00DD2080"/>
    <w:rsid w:val="00DD27E3"/>
    <w:rsid w:val="00DD6A97"/>
    <w:rsid w:val="00DE5FD7"/>
    <w:rsid w:val="00DF3734"/>
    <w:rsid w:val="00DF5FD6"/>
    <w:rsid w:val="00E00405"/>
    <w:rsid w:val="00E03D49"/>
    <w:rsid w:val="00E04944"/>
    <w:rsid w:val="00E11F1E"/>
    <w:rsid w:val="00E163BB"/>
    <w:rsid w:val="00E16606"/>
    <w:rsid w:val="00E17AA6"/>
    <w:rsid w:val="00E2478F"/>
    <w:rsid w:val="00E30121"/>
    <w:rsid w:val="00E44E92"/>
    <w:rsid w:val="00E47242"/>
    <w:rsid w:val="00E52B1E"/>
    <w:rsid w:val="00E564CF"/>
    <w:rsid w:val="00E67DF9"/>
    <w:rsid w:val="00E70B36"/>
    <w:rsid w:val="00E70B3F"/>
    <w:rsid w:val="00E7249D"/>
    <w:rsid w:val="00E75903"/>
    <w:rsid w:val="00E75DED"/>
    <w:rsid w:val="00E81194"/>
    <w:rsid w:val="00E854AC"/>
    <w:rsid w:val="00E854CE"/>
    <w:rsid w:val="00E92AF2"/>
    <w:rsid w:val="00EA0800"/>
    <w:rsid w:val="00EA3E67"/>
    <w:rsid w:val="00EC19DC"/>
    <w:rsid w:val="00EC2409"/>
    <w:rsid w:val="00EC3B43"/>
    <w:rsid w:val="00EE1CD6"/>
    <w:rsid w:val="00EE40A2"/>
    <w:rsid w:val="00EE6A5C"/>
    <w:rsid w:val="00EF7227"/>
    <w:rsid w:val="00F014F3"/>
    <w:rsid w:val="00F04B93"/>
    <w:rsid w:val="00F114CF"/>
    <w:rsid w:val="00F12BAC"/>
    <w:rsid w:val="00F1411E"/>
    <w:rsid w:val="00F15BCF"/>
    <w:rsid w:val="00F160C7"/>
    <w:rsid w:val="00F2458F"/>
    <w:rsid w:val="00F24918"/>
    <w:rsid w:val="00F369A0"/>
    <w:rsid w:val="00F37238"/>
    <w:rsid w:val="00F378C8"/>
    <w:rsid w:val="00F43B77"/>
    <w:rsid w:val="00F46C92"/>
    <w:rsid w:val="00F55F86"/>
    <w:rsid w:val="00F627F0"/>
    <w:rsid w:val="00F65656"/>
    <w:rsid w:val="00F83848"/>
    <w:rsid w:val="00F90A5F"/>
    <w:rsid w:val="00FB2CE5"/>
    <w:rsid w:val="00FB3114"/>
    <w:rsid w:val="00FB50B2"/>
    <w:rsid w:val="00FC0609"/>
    <w:rsid w:val="00FC1A58"/>
    <w:rsid w:val="00FE068F"/>
    <w:rsid w:val="00FE6D99"/>
    <w:rsid w:val="00FF34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902"/>
    <w:pPr>
      <w:spacing w:after="0" w:line="240" w:lineRule="auto"/>
    </w:pPr>
    <w:rPr>
      <w:rFonts w:ascii="Arial" w:eastAsia="SimSun" w:hAnsi="Arial" w:cs="Arial"/>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20902"/>
    <w:pPr>
      <w:tabs>
        <w:tab w:val="center" w:pos="4153"/>
        <w:tab w:val="right" w:pos="8306"/>
      </w:tabs>
    </w:pPr>
  </w:style>
  <w:style w:type="character" w:customStyle="1" w:styleId="HeaderChar">
    <w:name w:val="Header Char"/>
    <w:basedOn w:val="DefaultParagraphFont"/>
    <w:link w:val="Header"/>
    <w:uiPriority w:val="99"/>
    <w:rsid w:val="00020902"/>
    <w:rPr>
      <w:rFonts w:ascii="Arial" w:eastAsia="SimSun" w:hAnsi="Arial" w:cs="Arial"/>
      <w:sz w:val="20"/>
      <w:szCs w:val="20"/>
      <w:lang w:eastAsia="zh-CN"/>
    </w:rPr>
  </w:style>
  <w:style w:type="character" w:styleId="Hyperlink">
    <w:name w:val="Hyperlink"/>
    <w:rsid w:val="00020902"/>
    <w:rPr>
      <w:color w:val="0000FF"/>
      <w:u w:val="single"/>
    </w:rPr>
  </w:style>
  <w:style w:type="paragraph" w:styleId="ListParagraph">
    <w:name w:val="List Paragraph"/>
    <w:basedOn w:val="Normal"/>
    <w:uiPriority w:val="34"/>
    <w:qFormat/>
    <w:rsid w:val="00020902"/>
    <w:pPr>
      <w:spacing w:after="200" w:line="276" w:lineRule="auto"/>
      <w:ind w:left="720"/>
      <w:contextualSpacing/>
    </w:pPr>
    <w:rPr>
      <w:rFonts w:ascii="Calibri" w:eastAsia="Times New Roman" w:hAnsi="Calibri" w:cs="Times New Roman"/>
      <w:sz w:val="22"/>
      <w:szCs w:val="22"/>
      <w:lang w:eastAsia="en-US"/>
    </w:rPr>
  </w:style>
  <w:style w:type="paragraph" w:styleId="NormalWeb">
    <w:name w:val="Normal (Web)"/>
    <w:basedOn w:val="Normal"/>
    <w:rsid w:val="00020902"/>
    <w:pPr>
      <w:spacing w:before="100" w:beforeAutospacing="1" w:after="100" w:afterAutospacing="1"/>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20902"/>
    <w:rPr>
      <w:rFonts w:ascii="Tahoma" w:hAnsi="Tahoma" w:cs="Tahoma"/>
      <w:sz w:val="16"/>
      <w:szCs w:val="16"/>
    </w:rPr>
  </w:style>
  <w:style w:type="character" w:customStyle="1" w:styleId="BalloonTextChar">
    <w:name w:val="Balloon Text Char"/>
    <w:basedOn w:val="DefaultParagraphFont"/>
    <w:link w:val="BalloonText"/>
    <w:uiPriority w:val="99"/>
    <w:semiHidden/>
    <w:rsid w:val="00020902"/>
    <w:rPr>
      <w:rFonts w:ascii="Tahoma" w:eastAsia="SimSun" w:hAnsi="Tahoma" w:cs="Tahoma"/>
      <w:sz w:val="16"/>
      <w:szCs w:val="16"/>
      <w:lang w:eastAsia="zh-CN"/>
    </w:rPr>
  </w:style>
  <w:style w:type="paragraph" w:styleId="Footer">
    <w:name w:val="footer"/>
    <w:basedOn w:val="Normal"/>
    <w:link w:val="FooterChar"/>
    <w:uiPriority w:val="99"/>
    <w:unhideWhenUsed/>
    <w:rsid w:val="00020902"/>
    <w:pPr>
      <w:tabs>
        <w:tab w:val="center" w:pos="4513"/>
        <w:tab w:val="right" w:pos="9026"/>
      </w:tabs>
    </w:pPr>
  </w:style>
  <w:style w:type="character" w:customStyle="1" w:styleId="FooterChar">
    <w:name w:val="Footer Char"/>
    <w:basedOn w:val="DefaultParagraphFont"/>
    <w:link w:val="Footer"/>
    <w:uiPriority w:val="99"/>
    <w:rsid w:val="00020902"/>
    <w:rPr>
      <w:rFonts w:ascii="Arial" w:eastAsia="SimSun" w:hAnsi="Arial" w:cs="Arial"/>
      <w:sz w:val="20"/>
      <w:szCs w:val="20"/>
      <w:lang w:eastAsia="zh-CN"/>
    </w:rPr>
  </w:style>
  <w:style w:type="character" w:styleId="CommentReference">
    <w:name w:val="annotation reference"/>
    <w:basedOn w:val="DefaultParagraphFont"/>
    <w:uiPriority w:val="99"/>
    <w:semiHidden/>
    <w:unhideWhenUsed/>
    <w:rsid w:val="00CB034F"/>
    <w:rPr>
      <w:sz w:val="16"/>
      <w:szCs w:val="16"/>
    </w:rPr>
  </w:style>
  <w:style w:type="paragraph" w:styleId="CommentText">
    <w:name w:val="annotation text"/>
    <w:basedOn w:val="Normal"/>
    <w:link w:val="CommentTextChar"/>
    <w:uiPriority w:val="99"/>
    <w:semiHidden/>
    <w:unhideWhenUsed/>
    <w:rsid w:val="00CB034F"/>
  </w:style>
  <w:style w:type="character" w:customStyle="1" w:styleId="CommentTextChar">
    <w:name w:val="Comment Text Char"/>
    <w:basedOn w:val="DefaultParagraphFont"/>
    <w:link w:val="CommentText"/>
    <w:uiPriority w:val="99"/>
    <w:semiHidden/>
    <w:rsid w:val="00CB034F"/>
    <w:rPr>
      <w:rFonts w:ascii="Arial" w:eastAsia="SimSun" w:hAnsi="Arial" w:cs="Arial"/>
      <w:sz w:val="20"/>
      <w:szCs w:val="20"/>
      <w:lang w:eastAsia="zh-CN"/>
    </w:rPr>
  </w:style>
  <w:style w:type="paragraph" w:styleId="CommentSubject">
    <w:name w:val="annotation subject"/>
    <w:basedOn w:val="CommentText"/>
    <w:next w:val="CommentText"/>
    <w:link w:val="CommentSubjectChar"/>
    <w:uiPriority w:val="99"/>
    <w:semiHidden/>
    <w:unhideWhenUsed/>
    <w:rsid w:val="00CB034F"/>
    <w:rPr>
      <w:b/>
      <w:bCs/>
    </w:rPr>
  </w:style>
  <w:style w:type="character" w:customStyle="1" w:styleId="CommentSubjectChar">
    <w:name w:val="Comment Subject Char"/>
    <w:basedOn w:val="CommentTextChar"/>
    <w:link w:val="CommentSubject"/>
    <w:uiPriority w:val="99"/>
    <w:semiHidden/>
    <w:rsid w:val="00CB034F"/>
    <w:rPr>
      <w:rFonts w:ascii="Arial" w:eastAsia="SimSun" w:hAnsi="Arial" w:cs="Arial"/>
      <w:b/>
      <w:bCs/>
      <w:sz w:val="20"/>
      <w:szCs w:val="20"/>
      <w:lang w:eastAsia="zh-CN"/>
    </w:rPr>
  </w:style>
  <w:style w:type="paragraph" w:styleId="FootnoteText">
    <w:name w:val="footnote text"/>
    <w:basedOn w:val="Normal"/>
    <w:link w:val="FootnoteTextChar"/>
    <w:uiPriority w:val="99"/>
    <w:semiHidden/>
    <w:unhideWhenUsed/>
    <w:rsid w:val="00F55F86"/>
  </w:style>
  <w:style w:type="character" w:customStyle="1" w:styleId="FootnoteTextChar">
    <w:name w:val="Footnote Text Char"/>
    <w:basedOn w:val="DefaultParagraphFont"/>
    <w:link w:val="FootnoteText"/>
    <w:uiPriority w:val="99"/>
    <w:semiHidden/>
    <w:rsid w:val="00F55F86"/>
    <w:rPr>
      <w:rFonts w:ascii="Arial" w:eastAsia="SimSun" w:hAnsi="Arial" w:cs="Arial"/>
      <w:sz w:val="20"/>
      <w:szCs w:val="20"/>
      <w:lang w:eastAsia="zh-CN"/>
    </w:rPr>
  </w:style>
  <w:style w:type="character" w:styleId="FootnoteReference">
    <w:name w:val="footnote reference"/>
    <w:basedOn w:val="DefaultParagraphFont"/>
    <w:uiPriority w:val="99"/>
    <w:semiHidden/>
    <w:unhideWhenUsed/>
    <w:rsid w:val="00F55F86"/>
    <w:rPr>
      <w:vertAlign w:val="superscript"/>
    </w:rPr>
  </w:style>
  <w:style w:type="paragraph" w:customStyle="1" w:styleId="MRheading1">
    <w:name w:val="M&amp;R heading 1"/>
    <w:basedOn w:val="Normal"/>
    <w:rsid w:val="00581368"/>
    <w:pPr>
      <w:keepNext/>
      <w:keepLines/>
      <w:numPr>
        <w:numId w:val="17"/>
      </w:numPr>
      <w:spacing w:before="240" w:line="360" w:lineRule="auto"/>
      <w:jc w:val="both"/>
    </w:pPr>
    <w:rPr>
      <w:rFonts w:eastAsia="Times New Roman" w:cs="Times New Roman"/>
      <w:b/>
      <w:sz w:val="22"/>
      <w:u w:val="single"/>
      <w:lang w:eastAsia="en-GB"/>
    </w:rPr>
  </w:style>
  <w:style w:type="paragraph" w:customStyle="1" w:styleId="MRheading2">
    <w:name w:val="M&amp;R heading 2"/>
    <w:basedOn w:val="Normal"/>
    <w:link w:val="MRheading2Char"/>
    <w:rsid w:val="00581368"/>
    <w:pPr>
      <w:numPr>
        <w:ilvl w:val="1"/>
        <w:numId w:val="17"/>
      </w:numPr>
      <w:spacing w:before="240" w:line="360" w:lineRule="auto"/>
      <w:jc w:val="both"/>
      <w:outlineLvl w:val="1"/>
    </w:pPr>
    <w:rPr>
      <w:rFonts w:eastAsia="Times New Roman" w:cs="Times New Roman"/>
      <w:sz w:val="22"/>
      <w:lang w:eastAsia="en-GB"/>
    </w:rPr>
  </w:style>
  <w:style w:type="paragraph" w:customStyle="1" w:styleId="MRheading3">
    <w:name w:val="M&amp;R heading 3"/>
    <w:basedOn w:val="Normal"/>
    <w:link w:val="MRheading3Char"/>
    <w:rsid w:val="00581368"/>
    <w:pPr>
      <w:numPr>
        <w:ilvl w:val="2"/>
        <w:numId w:val="17"/>
      </w:numPr>
      <w:spacing w:before="240" w:line="360" w:lineRule="auto"/>
      <w:jc w:val="both"/>
      <w:outlineLvl w:val="2"/>
    </w:pPr>
    <w:rPr>
      <w:rFonts w:eastAsia="Times New Roman" w:cs="Times New Roman"/>
      <w:sz w:val="22"/>
      <w:lang w:eastAsia="en-GB"/>
    </w:rPr>
  </w:style>
  <w:style w:type="paragraph" w:customStyle="1" w:styleId="MRheading4">
    <w:name w:val="M&amp;R heading 4"/>
    <w:basedOn w:val="Normal"/>
    <w:rsid w:val="00581368"/>
    <w:pPr>
      <w:numPr>
        <w:ilvl w:val="3"/>
        <w:numId w:val="17"/>
      </w:numPr>
      <w:spacing w:before="240" w:line="360" w:lineRule="auto"/>
      <w:jc w:val="both"/>
      <w:outlineLvl w:val="3"/>
    </w:pPr>
    <w:rPr>
      <w:rFonts w:eastAsia="Times New Roman" w:cs="Times New Roman"/>
      <w:sz w:val="22"/>
      <w:lang w:eastAsia="en-GB"/>
    </w:rPr>
  </w:style>
  <w:style w:type="paragraph" w:customStyle="1" w:styleId="MRheading5">
    <w:name w:val="M&amp;R heading 5"/>
    <w:basedOn w:val="Normal"/>
    <w:rsid w:val="00581368"/>
    <w:pPr>
      <w:numPr>
        <w:ilvl w:val="4"/>
        <w:numId w:val="17"/>
      </w:numPr>
      <w:spacing w:before="240" w:line="360" w:lineRule="auto"/>
      <w:jc w:val="both"/>
      <w:outlineLvl w:val="4"/>
    </w:pPr>
    <w:rPr>
      <w:rFonts w:eastAsia="Times New Roman" w:cs="Times New Roman"/>
      <w:sz w:val="22"/>
      <w:lang w:eastAsia="en-GB"/>
    </w:rPr>
  </w:style>
  <w:style w:type="paragraph" w:customStyle="1" w:styleId="MRheading6">
    <w:name w:val="M&amp;R heading 6"/>
    <w:basedOn w:val="Normal"/>
    <w:rsid w:val="00581368"/>
    <w:pPr>
      <w:numPr>
        <w:ilvl w:val="5"/>
        <w:numId w:val="17"/>
      </w:numPr>
      <w:spacing w:before="240" w:line="360" w:lineRule="auto"/>
      <w:jc w:val="both"/>
      <w:outlineLvl w:val="5"/>
    </w:pPr>
    <w:rPr>
      <w:rFonts w:eastAsia="Times New Roman" w:cs="Times New Roman"/>
      <w:sz w:val="22"/>
      <w:lang w:eastAsia="en-GB"/>
    </w:rPr>
  </w:style>
  <w:style w:type="paragraph" w:customStyle="1" w:styleId="MRheading7">
    <w:name w:val="M&amp;R heading 7"/>
    <w:basedOn w:val="Normal"/>
    <w:rsid w:val="00581368"/>
    <w:pPr>
      <w:numPr>
        <w:ilvl w:val="6"/>
        <w:numId w:val="17"/>
      </w:numPr>
      <w:spacing w:before="240" w:line="360" w:lineRule="auto"/>
      <w:jc w:val="both"/>
      <w:outlineLvl w:val="6"/>
    </w:pPr>
    <w:rPr>
      <w:rFonts w:eastAsia="Times New Roman" w:cs="Times New Roman"/>
      <w:sz w:val="22"/>
      <w:lang w:eastAsia="en-GB"/>
    </w:rPr>
  </w:style>
  <w:style w:type="paragraph" w:customStyle="1" w:styleId="MRheading8">
    <w:name w:val="M&amp;R heading 8"/>
    <w:basedOn w:val="Normal"/>
    <w:rsid w:val="00581368"/>
    <w:pPr>
      <w:numPr>
        <w:ilvl w:val="7"/>
        <w:numId w:val="17"/>
      </w:numPr>
      <w:spacing w:before="240" w:line="360" w:lineRule="auto"/>
      <w:jc w:val="both"/>
      <w:outlineLvl w:val="7"/>
    </w:pPr>
    <w:rPr>
      <w:rFonts w:eastAsia="Times New Roman" w:cs="Times New Roman"/>
      <w:sz w:val="22"/>
      <w:lang w:eastAsia="en-GB"/>
    </w:rPr>
  </w:style>
  <w:style w:type="paragraph" w:customStyle="1" w:styleId="MRheading9">
    <w:name w:val="M&amp;R heading 9"/>
    <w:basedOn w:val="Normal"/>
    <w:rsid w:val="00581368"/>
    <w:pPr>
      <w:numPr>
        <w:ilvl w:val="8"/>
        <w:numId w:val="17"/>
      </w:numPr>
      <w:spacing w:before="240" w:line="360" w:lineRule="auto"/>
      <w:jc w:val="both"/>
      <w:outlineLvl w:val="8"/>
    </w:pPr>
    <w:rPr>
      <w:rFonts w:eastAsia="Times New Roman" w:cs="Times New Roman"/>
      <w:sz w:val="22"/>
      <w:lang w:eastAsia="en-GB"/>
    </w:rPr>
  </w:style>
  <w:style w:type="paragraph" w:customStyle="1" w:styleId="MRNoHead1">
    <w:name w:val="M&amp;R No Head 1"/>
    <w:basedOn w:val="Normal"/>
    <w:rsid w:val="00581368"/>
    <w:pPr>
      <w:numPr>
        <w:numId w:val="18"/>
      </w:numPr>
      <w:spacing w:before="240" w:line="360" w:lineRule="auto"/>
      <w:jc w:val="both"/>
    </w:pPr>
    <w:rPr>
      <w:rFonts w:eastAsia="Times New Roman" w:cs="Times New Roman"/>
      <w:sz w:val="22"/>
      <w:lang w:eastAsia="en-GB"/>
    </w:rPr>
  </w:style>
  <w:style w:type="paragraph" w:customStyle="1" w:styleId="MRNoHead2">
    <w:name w:val="M&amp;R No Head 2"/>
    <w:basedOn w:val="MRNoHead1"/>
    <w:rsid w:val="00581368"/>
    <w:pPr>
      <w:numPr>
        <w:ilvl w:val="1"/>
      </w:numPr>
    </w:pPr>
  </w:style>
  <w:style w:type="paragraph" w:customStyle="1" w:styleId="MRNoHead3">
    <w:name w:val="M&amp;R No Head 3"/>
    <w:basedOn w:val="MRNoHead1"/>
    <w:rsid w:val="00581368"/>
    <w:pPr>
      <w:numPr>
        <w:ilvl w:val="2"/>
      </w:numPr>
    </w:pPr>
  </w:style>
  <w:style w:type="paragraph" w:customStyle="1" w:styleId="MRNoHead4">
    <w:name w:val="M&amp;R No Head 4"/>
    <w:basedOn w:val="Normal"/>
    <w:rsid w:val="00581368"/>
    <w:pPr>
      <w:numPr>
        <w:ilvl w:val="3"/>
        <w:numId w:val="18"/>
      </w:numPr>
      <w:spacing w:before="240" w:line="360" w:lineRule="auto"/>
      <w:jc w:val="both"/>
    </w:pPr>
    <w:rPr>
      <w:rFonts w:eastAsia="Times New Roman" w:cs="Times New Roman"/>
      <w:sz w:val="22"/>
      <w:lang w:eastAsia="en-GB"/>
    </w:rPr>
  </w:style>
  <w:style w:type="paragraph" w:customStyle="1" w:styleId="MRNoHead5">
    <w:name w:val="M&amp;R No Head 5"/>
    <w:basedOn w:val="MRNoHead1"/>
    <w:rsid w:val="00581368"/>
    <w:pPr>
      <w:numPr>
        <w:ilvl w:val="4"/>
      </w:numPr>
    </w:pPr>
  </w:style>
  <w:style w:type="paragraph" w:customStyle="1" w:styleId="MRNoHead6">
    <w:name w:val="M&amp;R No Head 6"/>
    <w:basedOn w:val="MRNoHead1"/>
    <w:rsid w:val="00581368"/>
    <w:pPr>
      <w:numPr>
        <w:ilvl w:val="5"/>
      </w:numPr>
    </w:pPr>
  </w:style>
  <w:style w:type="paragraph" w:customStyle="1" w:styleId="MRNoHead7">
    <w:name w:val="M&amp;R No Head 7"/>
    <w:basedOn w:val="MRNoHead1"/>
    <w:rsid w:val="00581368"/>
    <w:pPr>
      <w:numPr>
        <w:ilvl w:val="6"/>
      </w:numPr>
    </w:pPr>
  </w:style>
  <w:style w:type="paragraph" w:customStyle="1" w:styleId="MRNoHead8">
    <w:name w:val="M&amp;R No Head 8"/>
    <w:basedOn w:val="MRNoHead1"/>
    <w:rsid w:val="00581368"/>
    <w:pPr>
      <w:numPr>
        <w:ilvl w:val="7"/>
      </w:numPr>
    </w:pPr>
  </w:style>
  <w:style w:type="paragraph" w:customStyle="1" w:styleId="MRNoHead9">
    <w:name w:val="M&amp;R No Head 9"/>
    <w:basedOn w:val="MRNoHead1"/>
    <w:rsid w:val="00581368"/>
    <w:pPr>
      <w:numPr>
        <w:ilvl w:val="8"/>
      </w:numPr>
    </w:pPr>
  </w:style>
  <w:style w:type="paragraph" w:customStyle="1" w:styleId="MRSchedule1">
    <w:name w:val="M&amp;R Schedule 1"/>
    <w:basedOn w:val="Normal"/>
    <w:next w:val="Normal"/>
    <w:rsid w:val="00581368"/>
    <w:pPr>
      <w:keepNext/>
      <w:keepLines/>
      <w:numPr>
        <w:numId w:val="19"/>
      </w:numPr>
      <w:spacing w:before="240" w:line="360" w:lineRule="auto"/>
      <w:jc w:val="center"/>
      <w:outlineLvl w:val="0"/>
    </w:pPr>
    <w:rPr>
      <w:rFonts w:eastAsia="Times New Roman" w:cs="Times New Roman"/>
      <w:b/>
      <w:sz w:val="22"/>
      <w:u w:val="single"/>
      <w:lang w:eastAsia="en-GB"/>
    </w:rPr>
  </w:style>
  <w:style w:type="paragraph" w:customStyle="1" w:styleId="MRSchedule2">
    <w:name w:val="M&amp;R Schedule 2"/>
    <w:basedOn w:val="MRSchedule1"/>
    <w:next w:val="Normal"/>
    <w:rsid w:val="00581368"/>
    <w:pPr>
      <w:numPr>
        <w:numId w:val="0"/>
      </w:numPr>
      <w:outlineLvl w:val="1"/>
    </w:pPr>
    <w:rPr>
      <w:b w:val="0"/>
    </w:rPr>
  </w:style>
  <w:style w:type="character" w:customStyle="1" w:styleId="MRheading3Char">
    <w:name w:val="M&amp;R heading 3 Char"/>
    <w:link w:val="MRheading3"/>
    <w:rsid w:val="00581368"/>
    <w:rPr>
      <w:rFonts w:ascii="Arial" w:eastAsia="Times New Roman" w:hAnsi="Arial" w:cs="Times New Roman"/>
      <w:szCs w:val="20"/>
      <w:lang w:eastAsia="en-GB"/>
    </w:rPr>
  </w:style>
  <w:style w:type="character" w:customStyle="1" w:styleId="MRheading2Char">
    <w:name w:val="M&amp;R heading 2 Char"/>
    <w:link w:val="MRheading2"/>
    <w:rsid w:val="00581368"/>
    <w:rPr>
      <w:rFonts w:ascii="Arial" w:eastAsia="Times New Roman" w:hAnsi="Arial" w:cs="Times New Roman"/>
      <w:szCs w:val="20"/>
      <w:lang w:eastAsia="en-GB"/>
    </w:rPr>
  </w:style>
  <w:style w:type="character" w:customStyle="1" w:styleId="Defterm">
    <w:name w:val="Defterm"/>
    <w:rsid w:val="00126BCE"/>
    <w:rPr>
      <w:b/>
      <w:color w:val="000000"/>
      <w:sz w:val="22"/>
    </w:rPr>
  </w:style>
  <w:style w:type="paragraph" w:styleId="Revision">
    <w:name w:val="Revision"/>
    <w:hidden/>
    <w:uiPriority w:val="99"/>
    <w:semiHidden/>
    <w:rsid w:val="007251FD"/>
    <w:pPr>
      <w:spacing w:after="0" w:line="240" w:lineRule="auto"/>
    </w:pPr>
    <w:rPr>
      <w:rFonts w:ascii="Arial" w:eastAsia="SimSun" w:hAnsi="Arial" w:cs="Arial"/>
      <w:sz w:val="20"/>
      <w:szCs w:val="20"/>
      <w:lang w:eastAsia="zh-CN"/>
    </w:rPr>
  </w:style>
  <w:style w:type="character" w:styleId="FollowedHyperlink">
    <w:name w:val="FollowedHyperlink"/>
    <w:basedOn w:val="DefaultParagraphFont"/>
    <w:uiPriority w:val="99"/>
    <w:semiHidden/>
    <w:unhideWhenUsed/>
    <w:rsid w:val="00306E4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902"/>
    <w:pPr>
      <w:spacing w:after="0" w:line="240" w:lineRule="auto"/>
    </w:pPr>
    <w:rPr>
      <w:rFonts w:ascii="Arial" w:eastAsia="SimSun" w:hAnsi="Arial" w:cs="Arial"/>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20902"/>
    <w:pPr>
      <w:tabs>
        <w:tab w:val="center" w:pos="4153"/>
        <w:tab w:val="right" w:pos="8306"/>
      </w:tabs>
    </w:pPr>
  </w:style>
  <w:style w:type="character" w:customStyle="1" w:styleId="HeaderChar">
    <w:name w:val="Header Char"/>
    <w:basedOn w:val="DefaultParagraphFont"/>
    <w:link w:val="Header"/>
    <w:uiPriority w:val="99"/>
    <w:rsid w:val="00020902"/>
    <w:rPr>
      <w:rFonts w:ascii="Arial" w:eastAsia="SimSun" w:hAnsi="Arial" w:cs="Arial"/>
      <w:sz w:val="20"/>
      <w:szCs w:val="20"/>
      <w:lang w:eastAsia="zh-CN"/>
    </w:rPr>
  </w:style>
  <w:style w:type="character" w:styleId="Hyperlink">
    <w:name w:val="Hyperlink"/>
    <w:rsid w:val="00020902"/>
    <w:rPr>
      <w:color w:val="0000FF"/>
      <w:u w:val="single"/>
    </w:rPr>
  </w:style>
  <w:style w:type="paragraph" w:styleId="ListParagraph">
    <w:name w:val="List Paragraph"/>
    <w:basedOn w:val="Normal"/>
    <w:uiPriority w:val="34"/>
    <w:qFormat/>
    <w:rsid w:val="00020902"/>
    <w:pPr>
      <w:spacing w:after="200" w:line="276" w:lineRule="auto"/>
      <w:ind w:left="720"/>
      <w:contextualSpacing/>
    </w:pPr>
    <w:rPr>
      <w:rFonts w:ascii="Calibri" w:eastAsia="Times New Roman" w:hAnsi="Calibri" w:cs="Times New Roman"/>
      <w:sz w:val="22"/>
      <w:szCs w:val="22"/>
      <w:lang w:eastAsia="en-US"/>
    </w:rPr>
  </w:style>
  <w:style w:type="paragraph" w:styleId="NormalWeb">
    <w:name w:val="Normal (Web)"/>
    <w:basedOn w:val="Normal"/>
    <w:rsid w:val="00020902"/>
    <w:pPr>
      <w:spacing w:before="100" w:beforeAutospacing="1" w:after="100" w:afterAutospacing="1"/>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20902"/>
    <w:rPr>
      <w:rFonts w:ascii="Tahoma" w:hAnsi="Tahoma" w:cs="Tahoma"/>
      <w:sz w:val="16"/>
      <w:szCs w:val="16"/>
    </w:rPr>
  </w:style>
  <w:style w:type="character" w:customStyle="1" w:styleId="BalloonTextChar">
    <w:name w:val="Balloon Text Char"/>
    <w:basedOn w:val="DefaultParagraphFont"/>
    <w:link w:val="BalloonText"/>
    <w:uiPriority w:val="99"/>
    <w:semiHidden/>
    <w:rsid w:val="00020902"/>
    <w:rPr>
      <w:rFonts w:ascii="Tahoma" w:eastAsia="SimSun" w:hAnsi="Tahoma" w:cs="Tahoma"/>
      <w:sz w:val="16"/>
      <w:szCs w:val="16"/>
      <w:lang w:eastAsia="zh-CN"/>
    </w:rPr>
  </w:style>
  <w:style w:type="paragraph" w:styleId="Footer">
    <w:name w:val="footer"/>
    <w:basedOn w:val="Normal"/>
    <w:link w:val="FooterChar"/>
    <w:uiPriority w:val="99"/>
    <w:unhideWhenUsed/>
    <w:rsid w:val="00020902"/>
    <w:pPr>
      <w:tabs>
        <w:tab w:val="center" w:pos="4513"/>
        <w:tab w:val="right" w:pos="9026"/>
      </w:tabs>
    </w:pPr>
  </w:style>
  <w:style w:type="character" w:customStyle="1" w:styleId="FooterChar">
    <w:name w:val="Footer Char"/>
    <w:basedOn w:val="DefaultParagraphFont"/>
    <w:link w:val="Footer"/>
    <w:uiPriority w:val="99"/>
    <w:rsid w:val="00020902"/>
    <w:rPr>
      <w:rFonts w:ascii="Arial" w:eastAsia="SimSun" w:hAnsi="Arial" w:cs="Arial"/>
      <w:sz w:val="20"/>
      <w:szCs w:val="20"/>
      <w:lang w:eastAsia="zh-CN"/>
    </w:rPr>
  </w:style>
  <w:style w:type="character" w:styleId="CommentReference">
    <w:name w:val="annotation reference"/>
    <w:basedOn w:val="DefaultParagraphFont"/>
    <w:uiPriority w:val="99"/>
    <w:semiHidden/>
    <w:unhideWhenUsed/>
    <w:rsid w:val="00CB034F"/>
    <w:rPr>
      <w:sz w:val="16"/>
      <w:szCs w:val="16"/>
    </w:rPr>
  </w:style>
  <w:style w:type="paragraph" w:styleId="CommentText">
    <w:name w:val="annotation text"/>
    <w:basedOn w:val="Normal"/>
    <w:link w:val="CommentTextChar"/>
    <w:uiPriority w:val="99"/>
    <w:semiHidden/>
    <w:unhideWhenUsed/>
    <w:rsid w:val="00CB034F"/>
  </w:style>
  <w:style w:type="character" w:customStyle="1" w:styleId="CommentTextChar">
    <w:name w:val="Comment Text Char"/>
    <w:basedOn w:val="DefaultParagraphFont"/>
    <w:link w:val="CommentText"/>
    <w:uiPriority w:val="99"/>
    <w:semiHidden/>
    <w:rsid w:val="00CB034F"/>
    <w:rPr>
      <w:rFonts w:ascii="Arial" w:eastAsia="SimSun" w:hAnsi="Arial" w:cs="Arial"/>
      <w:sz w:val="20"/>
      <w:szCs w:val="20"/>
      <w:lang w:eastAsia="zh-CN"/>
    </w:rPr>
  </w:style>
  <w:style w:type="paragraph" w:styleId="CommentSubject">
    <w:name w:val="annotation subject"/>
    <w:basedOn w:val="CommentText"/>
    <w:next w:val="CommentText"/>
    <w:link w:val="CommentSubjectChar"/>
    <w:uiPriority w:val="99"/>
    <w:semiHidden/>
    <w:unhideWhenUsed/>
    <w:rsid w:val="00CB034F"/>
    <w:rPr>
      <w:b/>
      <w:bCs/>
    </w:rPr>
  </w:style>
  <w:style w:type="character" w:customStyle="1" w:styleId="CommentSubjectChar">
    <w:name w:val="Comment Subject Char"/>
    <w:basedOn w:val="CommentTextChar"/>
    <w:link w:val="CommentSubject"/>
    <w:uiPriority w:val="99"/>
    <w:semiHidden/>
    <w:rsid w:val="00CB034F"/>
    <w:rPr>
      <w:rFonts w:ascii="Arial" w:eastAsia="SimSun" w:hAnsi="Arial" w:cs="Arial"/>
      <w:b/>
      <w:bCs/>
      <w:sz w:val="20"/>
      <w:szCs w:val="20"/>
      <w:lang w:eastAsia="zh-CN"/>
    </w:rPr>
  </w:style>
  <w:style w:type="paragraph" w:styleId="FootnoteText">
    <w:name w:val="footnote text"/>
    <w:basedOn w:val="Normal"/>
    <w:link w:val="FootnoteTextChar"/>
    <w:uiPriority w:val="99"/>
    <w:semiHidden/>
    <w:unhideWhenUsed/>
    <w:rsid w:val="00F55F86"/>
  </w:style>
  <w:style w:type="character" w:customStyle="1" w:styleId="FootnoteTextChar">
    <w:name w:val="Footnote Text Char"/>
    <w:basedOn w:val="DefaultParagraphFont"/>
    <w:link w:val="FootnoteText"/>
    <w:uiPriority w:val="99"/>
    <w:semiHidden/>
    <w:rsid w:val="00F55F86"/>
    <w:rPr>
      <w:rFonts w:ascii="Arial" w:eastAsia="SimSun" w:hAnsi="Arial" w:cs="Arial"/>
      <w:sz w:val="20"/>
      <w:szCs w:val="20"/>
      <w:lang w:eastAsia="zh-CN"/>
    </w:rPr>
  </w:style>
  <w:style w:type="character" w:styleId="FootnoteReference">
    <w:name w:val="footnote reference"/>
    <w:basedOn w:val="DefaultParagraphFont"/>
    <w:uiPriority w:val="99"/>
    <w:semiHidden/>
    <w:unhideWhenUsed/>
    <w:rsid w:val="00F55F86"/>
    <w:rPr>
      <w:vertAlign w:val="superscript"/>
    </w:rPr>
  </w:style>
  <w:style w:type="paragraph" w:customStyle="1" w:styleId="MRheading1">
    <w:name w:val="M&amp;R heading 1"/>
    <w:basedOn w:val="Normal"/>
    <w:rsid w:val="00581368"/>
    <w:pPr>
      <w:keepNext/>
      <w:keepLines/>
      <w:numPr>
        <w:numId w:val="17"/>
      </w:numPr>
      <w:spacing w:before="240" w:line="360" w:lineRule="auto"/>
      <w:jc w:val="both"/>
    </w:pPr>
    <w:rPr>
      <w:rFonts w:eastAsia="Times New Roman" w:cs="Times New Roman"/>
      <w:b/>
      <w:sz w:val="22"/>
      <w:u w:val="single"/>
      <w:lang w:eastAsia="en-GB"/>
    </w:rPr>
  </w:style>
  <w:style w:type="paragraph" w:customStyle="1" w:styleId="MRheading2">
    <w:name w:val="M&amp;R heading 2"/>
    <w:basedOn w:val="Normal"/>
    <w:link w:val="MRheading2Char"/>
    <w:rsid w:val="00581368"/>
    <w:pPr>
      <w:numPr>
        <w:ilvl w:val="1"/>
        <w:numId w:val="17"/>
      </w:numPr>
      <w:spacing w:before="240" w:line="360" w:lineRule="auto"/>
      <w:jc w:val="both"/>
      <w:outlineLvl w:val="1"/>
    </w:pPr>
    <w:rPr>
      <w:rFonts w:eastAsia="Times New Roman" w:cs="Times New Roman"/>
      <w:sz w:val="22"/>
      <w:lang w:eastAsia="en-GB"/>
    </w:rPr>
  </w:style>
  <w:style w:type="paragraph" w:customStyle="1" w:styleId="MRheading3">
    <w:name w:val="M&amp;R heading 3"/>
    <w:basedOn w:val="Normal"/>
    <w:link w:val="MRheading3Char"/>
    <w:rsid w:val="00581368"/>
    <w:pPr>
      <w:numPr>
        <w:ilvl w:val="2"/>
        <w:numId w:val="17"/>
      </w:numPr>
      <w:spacing w:before="240" w:line="360" w:lineRule="auto"/>
      <w:jc w:val="both"/>
      <w:outlineLvl w:val="2"/>
    </w:pPr>
    <w:rPr>
      <w:rFonts w:eastAsia="Times New Roman" w:cs="Times New Roman"/>
      <w:sz w:val="22"/>
      <w:lang w:eastAsia="en-GB"/>
    </w:rPr>
  </w:style>
  <w:style w:type="paragraph" w:customStyle="1" w:styleId="MRheading4">
    <w:name w:val="M&amp;R heading 4"/>
    <w:basedOn w:val="Normal"/>
    <w:rsid w:val="00581368"/>
    <w:pPr>
      <w:numPr>
        <w:ilvl w:val="3"/>
        <w:numId w:val="17"/>
      </w:numPr>
      <w:spacing w:before="240" w:line="360" w:lineRule="auto"/>
      <w:jc w:val="both"/>
      <w:outlineLvl w:val="3"/>
    </w:pPr>
    <w:rPr>
      <w:rFonts w:eastAsia="Times New Roman" w:cs="Times New Roman"/>
      <w:sz w:val="22"/>
      <w:lang w:eastAsia="en-GB"/>
    </w:rPr>
  </w:style>
  <w:style w:type="paragraph" w:customStyle="1" w:styleId="MRheading5">
    <w:name w:val="M&amp;R heading 5"/>
    <w:basedOn w:val="Normal"/>
    <w:rsid w:val="00581368"/>
    <w:pPr>
      <w:numPr>
        <w:ilvl w:val="4"/>
        <w:numId w:val="17"/>
      </w:numPr>
      <w:spacing w:before="240" w:line="360" w:lineRule="auto"/>
      <w:jc w:val="both"/>
      <w:outlineLvl w:val="4"/>
    </w:pPr>
    <w:rPr>
      <w:rFonts w:eastAsia="Times New Roman" w:cs="Times New Roman"/>
      <w:sz w:val="22"/>
      <w:lang w:eastAsia="en-GB"/>
    </w:rPr>
  </w:style>
  <w:style w:type="paragraph" w:customStyle="1" w:styleId="MRheading6">
    <w:name w:val="M&amp;R heading 6"/>
    <w:basedOn w:val="Normal"/>
    <w:rsid w:val="00581368"/>
    <w:pPr>
      <w:numPr>
        <w:ilvl w:val="5"/>
        <w:numId w:val="17"/>
      </w:numPr>
      <w:spacing w:before="240" w:line="360" w:lineRule="auto"/>
      <w:jc w:val="both"/>
      <w:outlineLvl w:val="5"/>
    </w:pPr>
    <w:rPr>
      <w:rFonts w:eastAsia="Times New Roman" w:cs="Times New Roman"/>
      <w:sz w:val="22"/>
      <w:lang w:eastAsia="en-GB"/>
    </w:rPr>
  </w:style>
  <w:style w:type="paragraph" w:customStyle="1" w:styleId="MRheading7">
    <w:name w:val="M&amp;R heading 7"/>
    <w:basedOn w:val="Normal"/>
    <w:rsid w:val="00581368"/>
    <w:pPr>
      <w:numPr>
        <w:ilvl w:val="6"/>
        <w:numId w:val="17"/>
      </w:numPr>
      <w:spacing w:before="240" w:line="360" w:lineRule="auto"/>
      <w:jc w:val="both"/>
      <w:outlineLvl w:val="6"/>
    </w:pPr>
    <w:rPr>
      <w:rFonts w:eastAsia="Times New Roman" w:cs="Times New Roman"/>
      <w:sz w:val="22"/>
      <w:lang w:eastAsia="en-GB"/>
    </w:rPr>
  </w:style>
  <w:style w:type="paragraph" w:customStyle="1" w:styleId="MRheading8">
    <w:name w:val="M&amp;R heading 8"/>
    <w:basedOn w:val="Normal"/>
    <w:rsid w:val="00581368"/>
    <w:pPr>
      <w:numPr>
        <w:ilvl w:val="7"/>
        <w:numId w:val="17"/>
      </w:numPr>
      <w:spacing w:before="240" w:line="360" w:lineRule="auto"/>
      <w:jc w:val="both"/>
      <w:outlineLvl w:val="7"/>
    </w:pPr>
    <w:rPr>
      <w:rFonts w:eastAsia="Times New Roman" w:cs="Times New Roman"/>
      <w:sz w:val="22"/>
      <w:lang w:eastAsia="en-GB"/>
    </w:rPr>
  </w:style>
  <w:style w:type="paragraph" w:customStyle="1" w:styleId="MRheading9">
    <w:name w:val="M&amp;R heading 9"/>
    <w:basedOn w:val="Normal"/>
    <w:rsid w:val="00581368"/>
    <w:pPr>
      <w:numPr>
        <w:ilvl w:val="8"/>
        <w:numId w:val="17"/>
      </w:numPr>
      <w:spacing w:before="240" w:line="360" w:lineRule="auto"/>
      <w:jc w:val="both"/>
      <w:outlineLvl w:val="8"/>
    </w:pPr>
    <w:rPr>
      <w:rFonts w:eastAsia="Times New Roman" w:cs="Times New Roman"/>
      <w:sz w:val="22"/>
      <w:lang w:eastAsia="en-GB"/>
    </w:rPr>
  </w:style>
  <w:style w:type="paragraph" w:customStyle="1" w:styleId="MRNoHead1">
    <w:name w:val="M&amp;R No Head 1"/>
    <w:basedOn w:val="Normal"/>
    <w:rsid w:val="00581368"/>
    <w:pPr>
      <w:numPr>
        <w:numId w:val="18"/>
      </w:numPr>
      <w:spacing w:before="240" w:line="360" w:lineRule="auto"/>
      <w:jc w:val="both"/>
    </w:pPr>
    <w:rPr>
      <w:rFonts w:eastAsia="Times New Roman" w:cs="Times New Roman"/>
      <w:sz w:val="22"/>
      <w:lang w:eastAsia="en-GB"/>
    </w:rPr>
  </w:style>
  <w:style w:type="paragraph" w:customStyle="1" w:styleId="MRNoHead2">
    <w:name w:val="M&amp;R No Head 2"/>
    <w:basedOn w:val="MRNoHead1"/>
    <w:rsid w:val="00581368"/>
    <w:pPr>
      <w:numPr>
        <w:ilvl w:val="1"/>
      </w:numPr>
    </w:pPr>
  </w:style>
  <w:style w:type="paragraph" w:customStyle="1" w:styleId="MRNoHead3">
    <w:name w:val="M&amp;R No Head 3"/>
    <w:basedOn w:val="MRNoHead1"/>
    <w:rsid w:val="00581368"/>
    <w:pPr>
      <w:numPr>
        <w:ilvl w:val="2"/>
      </w:numPr>
    </w:pPr>
  </w:style>
  <w:style w:type="paragraph" w:customStyle="1" w:styleId="MRNoHead4">
    <w:name w:val="M&amp;R No Head 4"/>
    <w:basedOn w:val="Normal"/>
    <w:rsid w:val="00581368"/>
    <w:pPr>
      <w:numPr>
        <w:ilvl w:val="3"/>
        <w:numId w:val="18"/>
      </w:numPr>
      <w:spacing w:before="240" w:line="360" w:lineRule="auto"/>
      <w:jc w:val="both"/>
    </w:pPr>
    <w:rPr>
      <w:rFonts w:eastAsia="Times New Roman" w:cs="Times New Roman"/>
      <w:sz w:val="22"/>
      <w:lang w:eastAsia="en-GB"/>
    </w:rPr>
  </w:style>
  <w:style w:type="paragraph" w:customStyle="1" w:styleId="MRNoHead5">
    <w:name w:val="M&amp;R No Head 5"/>
    <w:basedOn w:val="MRNoHead1"/>
    <w:rsid w:val="00581368"/>
    <w:pPr>
      <w:numPr>
        <w:ilvl w:val="4"/>
      </w:numPr>
    </w:pPr>
  </w:style>
  <w:style w:type="paragraph" w:customStyle="1" w:styleId="MRNoHead6">
    <w:name w:val="M&amp;R No Head 6"/>
    <w:basedOn w:val="MRNoHead1"/>
    <w:rsid w:val="00581368"/>
    <w:pPr>
      <w:numPr>
        <w:ilvl w:val="5"/>
      </w:numPr>
    </w:pPr>
  </w:style>
  <w:style w:type="paragraph" w:customStyle="1" w:styleId="MRNoHead7">
    <w:name w:val="M&amp;R No Head 7"/>
    <w:basedOn w:val="MRNoHead1"/>
    <w:rsid w:val="00581368"/>
    <w:pPr>
      <w:numPr>
        <w:ilvl w:val="6"/>
      </w:numPr>
    </w:pPr>
  </w:style>
  <w:style w:type="paragraph" w:customStyle="1" w:styleId="MRNoHead8">
    <w:name w:val="M&amp;R No Head 8"/>
    <w:basedOn w:val="MRNoHead1"/>
    <w:rsid w:val="00581368"/>
    <w:pPr>
      <w:numPr>
        <w:ilvl w:val="7"/>
      </w:numPr>
    </w:pPr>
  </w:style>
  <w:style w:type="paragraph" w:customStyle="1" w:styleId="MRNoHead9">
    <w:name w:val="M&amp;R No Head 9"/>
    <w:basedOn w:val="MRNoHead1"/>
    <w:rsid w:val="00581368"/>
    <w:pPr>
      <w:numPr>
        <w:ilvl w:val="8"/>
      </w:numPr>
    </w:pPr>
  </w:style>
  <w:style w:type="paragraph" w:customStyle="1" w:styleId="MRSchedule1">
    <w:name w:val="M&amp;R Schedule 1"/>
    <w:basedOn w:val="Normal"/>
    <w:next w:val="Normal"/>
    <w:rsid w:val="00581368"/>
    <w:pPr>
      <w:keepNext/>
      <w:keepLines/>
      <w:numPr>
        <w:numId w:val="19"/>
      </w:numPr>
      <w:spacing w:before="240" w:line="360" w:lineRule="auto"/>
      <w:jc w:val="center"/>
      <w:outlineLvl w:val="0"/>
    </w:pPr>
    <w:rPr>
      <w:rFonts w:eastAsia="Times New Roman" w:cs="Times New Roman"/>
      <w:b/>
      <w:sz w:val="22"/>
      <w:u w:val="single"/>
      <w:lang w:eastAsia="en-GB"/>
    </w:rPr>
  </w:style>
  <w:style w:type="paragraph" w:customStyle="1" w:styleId="MRSchedule2">
    <w:name w:val="M&amp;R Schedule 2"/>
    <w:basedOn w:val="MRSchedule1"/>
    <w:next w:val="Normal"/>
    <w:rsid w:val="00581368"/>
    <w:pPr>
      <w:numPr>
        <w:numId w:val="0"/>
      </w:numPr>
      <w:outlineLvl w:val="1"/>
    </w:pPr>
    <w:rPr>
      <w:b w:val="0"/>
    </w:rPr>
  </w:style>
  <w:style w:type="character" w:customStyle="1" w:styleId="MRheading3Char">
    <w:name w:val="M&amp;R heading 3 Char"/>
    <w:link w:val="MRheading3"/>
    <w:rsid w:val="00581368"/>
    <w:rPr>
      <w:rFonts w:ascii="Arial" w:eastAsia="Times New Roman" w:hAnsi="Arial" w:cs="Times New Roman"/>
      <w:szCs w:val="20"/>
      <w:lang w:eastAsia="en-GB"/>
    </w:rPr>
  </w:style>
  <w:style w:type="character" w:customStyle="1" w:styleId="MRheading2Char">
    <w:name w:val="M&amp;R heading 2 Char"/>
    <w:link w:val="MRheading2"/>
    <w:rsid w:val="00581368"/>
    <w:rPr>
      <w:rFonts w:ascii="Arial" w:eastAsia="Times New Roman" w:hAnsi="Arial" w:cs="Times New Roman"/>
      <w:szCs w:val="20"/>
      <w:lang w:eastAsia="en-GB"/>
    </w:rPr>
  </w:style>
  <w:style w:type="character" w:customStyle="1" w:styleId="Defterm">
    <w:name w:val="Defterm"/>
    <w:rsid w:val="00126BCE"/>
    <w:rPr>
      <w:b/>
      <w:color w:val="000000"/>
      <w:sz w:val="22"/>
    </w:rPr>
  </w:style>
  <w:style w:type="paragraph" w:styleId="Revision">
    <w:name w:val="Revision"/>
    <w:hidden/>
    <w:uiPriority w:val="99"/>
    <w:semiHidden/>
    <w:rsid w:val="007251FD"/>
    <w:pPr>
      <w:spacing w:after="0" w:line="240" w:lineRule="auto"/>
    </w:pPr>
    <w:rPr>
      <w:rFonts w:ascii="Arial" w:eastAsia="SimSun" w:hAnsi="Arial" w:cs="Arial"/>
      <w:sz w:val="20"/>
      <w:szCs w:val="20"/>
      <w:lang w:eastAsia="zh-CN"/>
    </w:rPr>
  </w:style>
  <w:style w:type="character" w:styleId="FollowedHyperlink">
    <w:name w:val="FollowedHyperlink"/>
    <w:basedOn w:val="DefaultParagraphFont"/>
    <w:uiPriority w:val="99"/>
    <w:semiHidden/>
    <w:unhideWhenUsed/>
    <w:rsid w:val="00306E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7772">
      <w:bodyDiv w:val="1"/>
      <w:marLeft w:val="0"/>
      <w:marRight w:val="0"/>
      <w:marTop w:val="0"/>
      <w:marBottom w:val="0"/>
      <w:divBdr>
        <w:top w:val="none" w:sz="0" w:space="0" w:color="auto"/>
        <w:left w:val="none" w:sz="0" w:space="0" w:color="auto"/>
        <w:bottom w:val="none" w:sz="0" w:space="0" w:color="auto"/>
        <w:right w:val="none" w:sz="0" w:space="0" w:color="auto"/>
      </w:divBdr>
    </w:div>
    <w:div w:id="11483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ritishcouncil.org/new/about-us/jobs/folder_jobs/register-as-a-Consultant/policies-for-Consultants-and-associate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atie.jellicoe@britishcouncil.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tie.jellicoe@britishcouncil.or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ritishcouncil.org/iaeste" TargetMode="External"/><Relationship Id="rId4" Type="http://schemas.microsoft.com/office/2007/relationships/stylesWithEffects" Target="stylesWithEffects.xml"/><Relationship Id="rId9" Type="http://schemas.openxmlformats.org/officeDocument/2006/relationships/hyperlink" Target="http://www.britishcouncil.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A726A-DAE5-458A-AB4C-BCE1E510D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3053</Words>
  <Characters>17407</Characters>
  <Application>Microsoft Office Word</Application>
  <DocSecurity>4</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20420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Quinn, Kevin (P&amp;P)</dc:creator>
  <cp:lastModifiedBy>Wade, Katie (Education and Society)</cp:lastModifiedBy>
  <cp:revision>2</cp:revision>
  <dcterms:created xsi:type="dcterms:W3CDTF">2017-04-21T09:24:00Z</dcterms:created>
  <dcterms:modified xsi:type="dcterms:W3CDTF">2017-04-21T09:24:00Z</dcterms:modified>
</cp:coreProperties>
</file>